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08C6" w14:textId="51C6E233" w:rsidR="005D668B" w:rsidRPr="00343CBA" w:rsidRDefault="0024708A" w:rsidP="000D3D40">
      <w:pPr>
        <w:pStyle w:val="Heading1"/>
      </w:pPr>
      <w:r>
        <w:t>Chromatography – Learn Chemistry resources</w:t>
      </w:r>
    </w:p>
    <w:p w14:paraId="054408C7" w14:textId="305C3F54" w:rsidR="00D71A1A" w:rsidRPr="007C1813" w:rsidRDefault="0024708A" w:rsidP="007C1813">
      <w:pPr>
        <w:pStyle w:val="Leadparagraph"/>
      </w:pPr>
      <w:r>
        <w:rPr>
          <w:rStyle w:val="LeadparagraphChar"/>
          <w:b/>
        </w:rPr>
        <w:t xml:space="preserve">This table accompanies </w:t>
      </w:r>
      <w:hyperlink r:id="rId10" w:history="1">
        <w:r w:rsidRPr="008813D2">
          <w:rPr>
            <w:rStyle w:val="Hyperlink"/>
          </w:rPr>
          <w:t>Chromatography</w:t>
        </w:r>
      </w:hyperlink>
      <w:r>
        <w:rPr>
          <w:rStyle w:val="LeadparagraphChar"/>
          <w:b/>
        </w:rPr>
        <w:t xml:space="preserve">, from </w:t>
      </w:r>
      <w:r>
        <w:rPr>
          <w:rStyle w:val="LeadparagraphChar"/>
          <w:b/>
          <w:i/>
        </w:rPr>
        <w:t>Education in Chemistry</w:t>
      </w:r>
      <w:r>
        <w:rPr>
          <w:rStyle w:val="LeadparagraphChar"/>
          <w:b/>
        </w:rPr>
        <w:t xml:space="preserve">, </w:t>
      </w:r>
      <w:r w:rsidR="004327C9">
        <w:rPr>
          <w:rStyle w:val="LeadparagraphChar"/>
          <w:b/>
        </w:rPr>
        <w:t xml:space="preserve">March </w:t>
      </w:r>
      <w:r>
        <w:rPr>
          <w:rStyle w:val="LeadparagraphChar"/>
          <w:b/>
        </w:rPr>
        <w:t xml:space="preserve">2017, where </w:t>
      </w:r>
      <w:r w:rsidRPr="0024708A">
        <w:rPr>
          <w:rStyle w:val="LeadparagraphChar"/>
          <w:b/>
        </w:rPr>
        <w:t>Dorothy</w:t>
      </w:r>
      <w:r w:rsidR="008E25FA">
        <w:rPr>
          <w:rStyle w:val="LeadparagraphChar"/>
          <w:b/>
        </w:rPr>
        <w:t> </w:t>
      </w:r>
      <w:r w:rsidRPr="0024708A">
        <w:rPr>
          <w:rStyle w:val="LeadparagraphChar"/>
          <w:b/>
        </w:rPr>
        <w:t>Warren and Kay</w:t>
      </w:r>
      <w:r w:rsidR="008E25FA">
        <w:rPr>
          <w:rStyle w:val="LeadparagraphChar"/>
          <w:b/>
        </w:rPr>
        <w:t> </w:t>
      </w:r>
      <w:r w:rsidRPr="0024708A">
        <w:rPr>
          <w:rStyle w:val="LeadparagraphChar"/>
          <w:b/>
        </w:rPr>
        <w:t>Stephenson discuss ways to engage and enthuse your students through practical work in chromatography</w:t>
      </w:r>
    </w:p>
    <w:p w14:paraId="1FE168CC" w14:textId="4D8C9FDE" w:rsidR="008E25FA" w:rsidRDefault="008E25FA" w:rsidP="008E25FA">
      <w:r>
        <w:t xml:space="preserve">There are a number of chromatography resources on Learn Chemistry. Some provide further background information, such as how to link chromatography with particle theory and how chromatography is used in the workplace. Others are experiments ready to use with your students, for </w:t>
      </w:r>
      <w:bookmarkStart w:id="0" w:name="_GoBack"/>
      <w:bookmarkEnd w:id="0"/>
      <w:r>
        <w:t>example the chro</w:t>
      </w:r>
      <w:r w:rsidR="004327C9">
        <w:t>matography of leaves or sweets.</w:t>
      </w:r>
    </w:p>
    <w:tbl>
      <w:tblPr>
        <w:tblStyle w:val="TableGrid"/>
        <w:tblpPr w:leftFromText="180" w:rightFromText="180" w:vertAnchor="text" w:horzAnchor="margin" w:tblpY="68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A0" w:firstRow="1" w:lastRow="0" w:firstColumn="1" w:lastColumn="0" w:noHBand="1" w:noVBand="1"/>
        <w:tblCaption w:val="Table"/>
      </w:tblPr>
      <w:tblGrid>
        <w:gridCol w:w="2150"/>
        <w:gridCol w:w="3381"/>
        <w:gridCol w:w="3529"/>
      </w:tblGrid>
      <w:tr w:rsidR="00663D77" w:rsidRPr="008A6AD0" w14:paraId="054408DB" w14:textId="77777777" w:rsidTr="006331C2">
        <w:trPr>
          <w:tblHeader/>
        </w:trPr>
        <w:tc>
          <w:tcPr>
            <w:tcW w:w="0" w:type="auto"/>
            <w:tcBorders>
              <w:bottom w:val="single" w:sz="4" w:space="0" w:color="auto"/>
            </w:tcBorders>
          </w:tcPr>
          <w:p w14:paraId="054408D8" w14:textId="1C489AB7" w:rsidR="0024708A" w:rsidRPr="000610F7" w:rsidRDefault="0024708A" w:rsidP="0024708A">
            <w:pPr>
              <w:rPr>
                <w:b/>
              </w:rPr>
            </w:pPr>
            <w:r w:rsidRPr="000610F7">
              <w:rPr>
                <w:b/>
              </w:rPr>
              <w:t>Learn Chemistry Resource</w:t>
            </w:r>
          </w:p>
        </w:tc>
        <w:tc>
          <w:tcPr>
            <w:tcW w:w="0" w:type="auto"/>
            <w:tcBorders>
              <w:bottom w:val="single" w:sz="4" w:space="0" w:color="auto"/>
            </w:tcBorders>
          </w:tcPr>
          <w:p w14:paraId="054408D9" w14:textId="21767CA9" w:rsidR="0024708A" w:rsidRPr="000610F7" w:rsidRDefault="0024708A" w:rsidP="0024708A">
            <w:pPr>
              <w:rPr>
                <w:b/>
              </w:rPr>
            </w:pPr>
            <w:r w:rsidRPr="000610F7">
              <w:rPr>
                <w:b/>
              </w:rPr>
              <w:t>Type of activity</w:t>
            </w:r>
          </w:p>
        </w:tc>
        <w:tc>
          <w:tcPr>
            <w:tcW w:w="0" w:type="auto"/>
            <w:tcBorders>
              <w:bottom w:val="single" w:sz="4" w:space="0" w:color="auto"/>
            </w:tcBorders>
          </w:tcPr>
          <w:p w14:paraId="054408DA" w14:textId="64FF126F" w:rsidR="0024708A" w:rsidRPr="000610F7" w:rsidRDefault="0024708A" w:rsidP="0024708A">
            <w:pPr>
              <w:rPr>
                <w:b/>
              </w:rPr>
            </w:pPr>
            <w:r w:rsidRPr="000610F7">
              <w:rPr>
                <w:b/>
              </w:rPr>
              <w:t>Comments</w:t>
            </w:r>
          </w:p>
        </w:tc>
      </w:tr>
      <w:tr w:rsidR="00663D77" w:rsidRPr="00F32AE0" w14:paraId="054408DF" w14:textId="77777777" w:rsidTr="006331C2">
        <w:tc>
          <w:tcPr>
            <w:tcW w:w="0" w:type="auto"/>
            <w:tcBorders>
              <w:top w:val="single" w:sz="4" w:space="0" w:color="auto"/>
            </w:tcBorders>
          </w:tcPr>
          <w:p w14:paraId="054408DC" w14:textId="2A5F652A" w:rsidR="0024708A" w:rsidRPr="008C2782" w:rsidRDefault="0024708A" w:rsidP="0024708A">
            <w:r>
              <w:t>Crime scene chromatography</w:t>
            </w:r>
            <w:r>
              <w:br/>
            </w:r>
            <w:hyperlink r:id="rId11" w:history="1">
              <w:r w:rsidRPr="001E34F7">
                <w:rPr>
                  <w:rStyle w:val="Hyperlink"/>
                </w:rPr>
                <w:t>rsc.li/2jKyMia</w:t>
              </w:r>
            </w:hyperlink>
          </w:p>
        </w:tc>
        <w:tc>
          <w:tcPr>
            <w:tcW w:w="0" w:type="auto"/>
            <w:tcBorders>
              <w:top w:val="single" w:sz="4" w:space="0" w:color="auto"/>
            </w:tcBorders>
          </w:tcPr>
          <w:p w14:paraId="054408DD" w14:textId="270A00AA" w:rsidR="0024708A" w:rsidRPr="00F32AE0" w:rsidRDefault="0024708A" w:rsidP="0024708A">
            <w:r w:rsidRPr="009828AD">
              <w:t>Primary children use chromatography to explore a range of different types of black pens.</w:t>
            </w:r>
          </w:p>
        </w:tc>
        <w:tc>
          <w:tcPr>
            <w:tcW w:w="0" w:type="auto"/>
            <w:tcBorders>
              <w:top w:val="single" w:sz="4" w:space="0" w:color="auto"/>
            </w:tcBorders>
          </w:tcPr>
          <w:p w14:paraId="054408DE" w14:textId="71C7E4AC" w:rsidR="0024708A" w:rsidRPr="00F32AE0" w:rsidRDefault="0024708A" w:rsidP="0024708A">
            <w:r w:rsidRPr="009828AD">
              <w:t>This activity provides an idea to what goes on at primary</w:t>
            </w:r>
            <w:r w:rsidR="001B7D18">
              <w:t xml:space="preserve"> level</w:t>
            </w:r>
            <w:r>
              <w:t>.</w:t>
            </w:r>
          </w:p>
        </w:tc>
      </w:tr>
      <w:tr w:rsidR="00663D77" w:rsidRPr="00F32AE0" w14:paraId="054408E3" w14:textId="77777777" w:rsidTr="006331C2">
        <w:tc>
          <w:tcPr>
            <w:tcW w:w="0" w:type="auto"/>
          </w:tcPr>
          <w:p w14:paraId="054408E0" w14:textId="537548E5" w:rsidR="0024708A" w:rsidRPr="008C2782" w:rsidRDefault="0024708A" w:rsidP="0024708A">
            <w:r>
              <w:t>Chromatography of sweets</w:t>
            </w:r>
            <w:r>
              <w:br/>
            </w:r>
            <w:hyperlink r:id="rId12" w:history="1">
              <w:r w:rsidRPr="001E34F7">
                <w:rPr>
                  <w:rStyle w:val="Hyperlink"/>
                </w:rPr>
                <w:t>rsc.li/2kGjedu</w:t>
              </w:r>
            </w:hyperlink>
          </w:p>
        </w:tc>
        <w:tc>
          <w:tcPr>
            <w:tcW w:w="0" w:type="auto"/>
          </w:tcPr>
          <w:p w14:paraId="74A8AF0A" w14:textId="77777777" w:rsidR="00663D77" w:rsidRDefault="0024708A" w:rsidP="00663D77">
            <w:pPr>
              <w:spacing w:before="60" w:after="60" w:line="220" w:lineRule="exact"/>
            </w:pPr>
            <w:r w:rsidRPr="009828AD">
              <w:t xml:space="preserve">Students investigate </w:t>
            </w:r>
            <w:r w:rsidRPr="0099640B">
              <w:t>the dyes used in brightly coated sweets such as M&amp;M’s and Smarties.</w:t>
            </w:r>
          </w:p>
          <w:p w14:paraId="054408E1" w14:textId="06500A86" w:rsidR="0024708A" w:rsidRPr="00663D77" w:rsidRDefault="0024708A" w:rsidP="00663D77">
            <w:pPr>
              <w:spacing w:before="60" w:after="60" w:line="220" w:lineRule="exact"/>
            </w:pPr>
            <w:r w:rsidRPr="00663D77">
              <w:t>Teacher and technician notes included</w:t>
            </w:r>
            <w:r w:rsidR="00663D77">
              <w:t>.</w:t>
            </w:r>
          </w:p>
        </w:tc>
        <w:tc>
          <w:tcPr>
            <w:tcW w:w="0" w:type="auto"/>
          </w:tcPr>
          <w:p w14:paraId="054408E2" w14:textId="635D2EB5" w:rsidR="0024708A" w:rsidRPr="00F32AE0" w:rsidRDefault="0024708A" w:rsidP="006331C2">
            <w:pPr>
              <w:spacing w:before="60" w:after="60" w:line="220" w:lineRule="exact"/>
            </w:pPr>
            <w:r w:rsidRPr="009828AD">
              <w:t>A good investigation starter</w:t>
            </w:r>
            <w:r w:rsidR="006331C2">
              <w:t xml:space="preserve">, </w:t>
            </w:r>
            <w:proofErr w:type="spellStart"/>
            <w:r w:rsidR="006331C2">
              <w:t>eg</w:t>
            </w:r>
            <w:proofErr w:type="spellEnd"/>
            <w:r w:rsidR="006331C2">
              <w:t xml:space="preserve"> ‘</w:t>
            </w:r>
            <w:r w:rsidRPr="009828AD">
              <w:t>Do different brands of sweets use the same coloured dyes?</w:t>
            </w:r>
            <w:r w:rsidR="006331C2">
              <w:t>’</w:t>
            </w:r>
          </w:p>
        </w:tc>
      </w:tr>
      <w:tr w:rsidR="00663D77" w:rsidRPr="00F32AE0" w14:paraId="5D949AA2" w14:textId="77777777" w:rsidTr="006331C2">
        <w:tc>
          <w:tcPr>
            <w:tcW w:w="0" w:type="auto"/>
          </w:tcPr>
          <w:p w14:paraId="7E072587" w14:textId="1332BD35" w:rsidR="0024708A" w:rsidRDefault="0024708A" w:rsidP="0024708A">
            <w:r>
              <w:t>Chromatography of leaves</w:t>
            </w:r>
            <w:r>
              <w:br/>
            </w:r>
            <w:hyperlink r:id="rId13" w:history="1">
              <w:r w:rsidRPr="001E34F7">
                <w:rPr>
                  <w:rStyle w:val="Hyperlink"/>
                </w:rPr>
                <w:t>rsc.li/2jKL6yF</w:t>
              </w:r>
            </w:hyperlink>
          </w:p>
        </w:tc>
        <w:tc>
          <w:tcPr>
            <w:tcW w:w="0" w:type="auto"/>
          </w:tcPr>
          <w:p w14:paraId="257F9CC7" w14:textId="77777777" w:rsidR="0024708A" w:rsidRPr="009828AD" w:rsidRDefault="0024708A" w:rsidP="0024708A">
            <w:pPr>
              <w:spacing w:before="60" w:after="60" w:line="220" w:lineRule="exact"/>
            </w:pPr>
            <w:r w:rsidRPr="009828AD">
              <w:t>Students use chromatography to separate the pigments in a leaf.</w:t>
            </w:r>
          </w:p>
          <w:p w14:paraId="7337B648" w14:textId="145EA47E" w:rsidR="0024708A" w:rsidRPr="00663D77" w:rsidRDefault="0024708A" w:rsidP="0024708A">
            <w:r w:rsidRPr="00663D77">
              <w:t>Teacher and technician</w:t>
            </w:r>
            <w:r w:rsidR="006331C2" w:rsidRPr="00663D77">
              <w:t xml:space="preserve"> notes included</w:t>
            </w:r>
            <w:r w:rsidR="00663D77">
              <w:t>.</w:t>
            </w:r>
          </w:p>
        </w:tc>
        <w:tc>
          <w:tcPr>
            <w:tcW w:w="0" w:type="auto"/>
          </w:tcPr>
          <w:p w14:paraId="3B58ED4E" w14:textId="2B420F5B" w:rsidR="0024708A" w:rsidRDefault="0024708A" w:rsidP="006331C2">
            <w:pPr>
              <w:spacing w:before="60" w:after="60" w:line="220" w:lineRule="exact"/>
            </w:pPr>
            <w:r w:rsidRPr="009828AD">
              <w:t>A good investigation starter</w:t>
            </w:r>
            <w:r w:rsidR="006331C2">
              <w:t xml:space="preserve">, </w:t>
            </w:r>
            <w:proofErr w:type="spellStart"/>
            <w:r w:rsidR="006331C2">
              <w:t>eg</w:t>
            </w:r>
            <w:proofErr w:type="spellEnd"/>
            <w:r w:rsidR="006331C2">
              <w:t xml:space="preserve"> ‘</w:t>
            </w:r>
            <w:r w:rsidRPr="009828AD">
              <w:t>Do all green leaves contain the same pigments?</w:t>
            </w:r>
            <w:r w:rsidR="006331C2">
              <w:t>’ or ‘</w:t>
            </w:r>
            <w:r w:rsidRPr="009828AD">
              <w:t>Are the pigments found in red or white leaves similar to those found in green leaves?</w:t>
            </w:r>
            <w:r w:rsidR="006331C2">
              <w:t>’</w:t>
            </w:r>
          </w:p>
        </w:tc>
      </w:tr>
      <w:tr w:rsidR="00663D77" w:rsidRPr="00F32AE0" w14:paraId="3247DBC1" w14:textId="77777777" w:rsidTr="006331C2">
        <w:tc>
          <w:tcPr>
            <w:tcW w:w="0" w:type="auto"/>
          </w:tcPr>
          <w:p w14:paraId="14D4B960" w14:textId="53C97C5C" w:rsidR="0024708A" w:rsidRDefault="0024708A" w:rsidP="0024708A">
            <w:r>
              <w:t>Chemistry for the gifted and talented: Chromatography</w:t>
            </w:r>
            <w:r>
              <w:br/>
            </w:r>
            <w:hyperlink r:id="rId14" w:history="1">
              <w:r w:rsidRPr="001E34F7">
                <w:rPr>
                  <w:rStyle w:val="Hyperlink"/>
                </w:rPr>
                <w:t>rsc.li/2kLK1Ev</w:t>
              </w:r>
            </w:hyperlink>
          </w:p>
        </w:tc>
        <w:tc>
          <w:tcPr>
            <w:tcW w:w="0" w:type="auto"/>
          </w:tcPr>
          <w:p w14:paraId="73C2C76A" w14:textId="08FE1885" w:rsidR="0024708A" w:rsidRPr="009828AD" w:rsidRDefault="0024708A" w:rsidP="0024708A">
            <w:pPr>
              <w:spacing w:before="60" w:after="60" w:line="220" w:lineRule="exact"/>
            </w:pPr>
            <w:r w:rsidRPr="009828AD">
              <w:t>Chromatography worksheet</w:t>
            </w:r>
            <w:r w:rsidR="00663D77">
              <w:t>.</w:t>
            </w:r>
          </w:p>
          <w:p w14:paraId="3FD84668" w14:textId="4FD43EAA" w:rsidR="0024708A" w:rsidRPr="00663D77" w:rsidRDefault="0024708A" w:rsidP="0024708A">
            <w:r w:rsidRPr="00663D77">
              <w:t>Teacher notes included</w:t>
            </w:r>
            <w:r w:rsidR="00663D77">
              <w:t>.</w:t>
            </w:r>
          </w:p>
        </w:tc>
        <w:tc>
          <w:tcPr>
            <w:tcW w:w="0" w:type="auto"/>
          </w:tcPr>
          <w:p w14:paraId="6711D5E7" w14:textId="2053DE71" w:rsidR="0024708A" w:rsidRDefault="0024708A" w:rsidP="006331C2">
            <w:r w:rsidRPr="009828AD">
              <w:rPr>
                <w:shd w:val="clear" w:color="auto" w:fill="FFFFFF"/>
              </w:rPr>
              <w:t>This activity extends students’ understanding of chromatography. It links chromatography with the particle theory and develops the tools of analogy and modelling</w:t>
            </w:r>
          </w:p>
        </w:tc>
      </w:tr>
      <w:tr w:rsidR="00663D77" w:rsidRPr="00F32AE0" w14:paraId="532BD83E" w14:textId="77777777" w:rsidTr="006331C2">
        <w:tc>
          <w:tcPr>
            <w:tcW w:w="0" w:type="auto"/>
          </w:tcPr>
          <w:p w14:paraId="4793F9D7" w14:textId="1F735229" w:rsidR="0024708A" w:rsidRDefault="0024708A" w:rsidP="0024708A">
            <w:r>
              <w:t>The interactive lab primer – thin layer chromatography</w:t>
            </w:r>
            <w:r>
              <w:br/>
            </w:r>
            <w:hyperlink r:id="rId15" w:history="1">
              <w:r w:rsidRPr="001E34F7">
                <w:rPr>
                  <w:rStyle w:val="Hyperlink"/>
                </w:rPr>
                <w:t>rsc.li/2k98Vip</w:t>
              </w:r>
            </w:hyperlink>
          </w:p>
        </w:tc>
        <w:tc>
          <w:tcPr>
            <w:tcW w:w="0" w:type="auto"/>
          </w:tcPr>
          <w:p w14:paraId="12E48CDE" w14:textId="7F9C85BF" w:rsidR="0024708A" w:rsidRDefault="0024708A" w:rsidP="006331C2">
            <w:pPr>
              <w:spacing w:before="60" w:after="60" w:line="220" w:lineRule="exact"/>
            </w:pPr>
            <w:r w:rsidRPr="0099640B">
              <w:t>Videos, animations, apparatus guide and tutorials showings how to use the technique.</w:t>
            </w:r>
          </w:p>
        </w:tc>
        <w:tc>
          <w:tcPr>
            <w:tcW w:w="0" w:type="auto"/>
          </w:tcPr>
          <w:p w14:paraId="64FCD95E" w14:textId="1976E248" w:rsidR="0024708A" w:rsidRDefault="0024708A" w:rsidP="006331C2">
            <w:pPr>
              <w:spacing w:before="60" w:after="60" w:line="220" w:lineRule="exact"/>
            </w:pPr>
            <w:r w:rsidRPr="0099640B">
              <w:t>Great for supporting the development of practical skills.</w:t>
            </w:r>
          </w:p>
        </w:tc>
      </w:tr>
      <w:tr w:rsidR="00663D77" w:rsidRPr="00F32AE0" w14:paraId="0C8E0267" w14:textId="77777777" w:rsidTr="006331C2">
        <w:tc>
          <w:tcPr>
            <w:tcW w:w="0" w:type="auto"/>
          </w:tcPr>
          <w:p w14:paraId="20EA2215" w14:textId="215C33FD" w:rsidR="0024708A" w:rsidRDefault="0024708A" w:rsidP="0024708A">
            <w:r>
              <w:t>Analytical chemist at the National Gallery</w:t>
            </w:r>
            <w:r>
              <w:br/>
            </w:r>
            <w:hyperlink r:id="rId16" w:history="1">
              <w:r w:rsidRPr="001E34F7">
                <w:rPr>
                  <w:rStyle w:val="Hyperlink"/>
                </w:rPr>
                <w:t>rsc.li/2kKuOrd</w:t>
              </w:r>
            </w:hyperlink>
          </w:p>
        </w:tc>
        <w:tc>
          <w:tcPr>
            <w:tcW w:w="0" w:type="auto"/>
          </w:tcPr>
          <w:p w14:paraId="512A4A2F" w14:textId="46FDA4FE" w:rsidR="0024708A" w:rsidRDefault="0024708A" w:rsidP="0024708A">
            <w:r w:rsidRPr="0099640B">
              <w:t>A video that focuses on separation using chromatography. It takes a look at paint binders and shows how the technique can tell us about the age of a painting.</w:t>
            </w:r>
          </w:p>
        </w:tc>
        <w:tc>
          <w:tcPr>
            <w:tcW w:w="0" w:type="auto"/>
          </w:tcPr>
          <w:p w14:paraId="5E6CBCA6" w14:textId="0BAF6D7B" w:rsidR="0024708A" w:rsidRDefault="0024708A" w:rsidP="0024708A">
            <w:r w:rsidRPr="0099640B">
              <w:t>A great context and opportunity to see chromatography in action in the workplace.</w:t>
            </w:r>
          </w:p>
        </w:tc>
      </w:tr>
      <w:tr w:rsidR="00663D77" w:rsidRPr="00F32AE0" w14:paraId="29740F21" w14:textId="77777777" w:rsidTr="006331C2">
        <w:tc>
          <w:tcPr>
            <w:tcW w:w="0" w:type="auto"/>
          </w:tcPr>
          <w:p w14:paraId="3EEFD738" w14:textId="03541A7D" w:rsidR="00734105" w:rsidRDefault="00920145" w:rsidP="0024708A">
            <w:r>
              <w:t>Paracetamol</w:t>
            </w:r>
            <w:r>
              <w:br/>
            </w:r>
            <w:hyperlink r:id="rId17" w:history="1">
              <w:r w:rsidR="00734105" w:rsidRPr="00734105">
                <w:rPr>
                  <w:rStyle w:val="Hyperlink"/>
                </w:rPr>
                <w:t>rsc.li/2kQaCo2</w:t>
              </w:r>
            </w:hyperlink>
          </w:p>
        </w:tc>
        <w:tc>
          <w:tcPr>
            <w:tcW w:w="0" w:type="auto"/>
          </w:tcPr>
          <w:p w14:paraId="12204BEC" w14:textId="1DC7D7C8" w:rsidR="00920145" w:rsidRPr="0099640B" w:rsidRDefault="00734105" w:rsidP="0024708A">
            <w:r>
              <w:t>Post-16 resource with full experimental details for the synthesis of paracetamol. With teacher and technician notes.</w:t>
            </w:r>
          </w:p>
        </w:tc>
        <w:tc>
          <w:tcPr>
            <w:tcW w:w="0" w:type="auto"/>
          </w:tcPr>
          <w:p w14:paraId="7C0D68A2" w14:textId="7441C8FA" w:rsidR="00920145" w:rsidRPr="0099640B" w:rsidRDefault="00734105" w:rsidP="00734105">
            <w:r>
              <w:t>Includes how to investigate and monitor the synthesis reactions by thin layer chromatography</w:t>
            </w:r>
            <w:r w:rsidR="00663D77">
              <w:t>.</w:t>
            </w:r>
          </w:p>
        </w:tc>
      </w:tr>
      <w:tr w:rsidR="00734105" w:rsidRPr="00F32AE0" w14:paraId="4EFDCE2F" w14:textId="77777777" w:rsidTr="006331C2">
        <w:tc>
          <w:tcPr>
            <w:tcW w:w="0" w:type="auto"/>
          </w:tcPr>
          <w:p w14:paraId="53364BA9" w14:textId="476E4488" w:rsidR="00734105" w:rsidRDefault="00734105" w:rsidP="0024708A">
            <w:r>
              <w:lastRenderedPageBreak/>
              <w:t>Aspirin</w:t>
            </w:r>
            <w:r>
              <w:br/>
            </w:r>
            <w:hyperlink r:id="rId18" w:history="1">
              <w:r w:rsidRPr="008B5B45">
                <w:rPr>
                  <w:rStyle w:val="Hyperlink"/>
                </w:rPr>
                <w:t>rsc.li/2kfR5u4</w:t>
              </w:r>
            </w:hyperlink>
          </w:p>
        </w:tc>
        <w:tc>
          <w:tcPr>
            <w:tcW w:w="0" w:type="auto"/>
          </w:tcPr>
          <w:p w14:paraId="6501669D" w14:textId="393F75A4" w:rsidR="00734105" w:rsidRDefault="00734105" w:rsidP="0024708A">
            <w:r>
              <w:t>Post-16 resource on the synthesis, purification and analysis of aspirin. Includes teacher and technician notes.</w:t>
            </w:r>
          </w:p>
        </w:tc>
        <w:tc>
          <w:tcPr>
            <w:tcW w:w="0" w:type="auto"/>
          </w:tcPr>
          <w:p w14:paraId="01CA752C" w14:textId="3CFCE6D2" w:rsidR="00734105" w:rsidRDefault="00734105" w:rsidP="00734105">
            <w:r>
              <w:t>Describes how to investigate the reaction using thin layer chromatography</w:t>
            </w:r>
            <w:r w:rsidR="00663D77">
              <w:t>.</w:t>
            </w:r>
          </w:p>
        </w:tc>
      </w:tr>
      <w:tr w:rsidR="00734105" w:rsidRPr="00F32AE0" w14:paraId="2B005C2E" w14:textId="77777777" w:rsidTr="006331C2">
        <w:tc>
          <w:tcPr>
            <w:tcW w:w="0" w:type="auto"/>
          </w:tcPr>
          <w:p w14:paraId="133FE6C5" w14:textId="70B15020" w:rsidR="00734105" w:rsidRDefault="00734105" w:rsidP="0024708A">
            <w:r w:rsidRPr="00734105">
              <w:t>How hot are chilli peppers?</w:t>
            </w:r>
            <w:r>
              <w:br/>
            </w:r>
            <w:hyperlink r:id="rId19" w:history="1">
              <w:r w:rsidRPr="008B5B45">
                <w:rPr>
                  <w:rStyle w:val="Hyperlink"/>
                </w:rPr>
                <w:t>rsc.li/2kUipgB</w:t>
              </w:r>
            </w:hyperlink>
          </w:p>
        </w:tc>
        <w:tc>
          <w:tcPr>
            <w:tcW w:w="0" w:type="auto"/>
          </w:tcPr>
          <w:p w14:paraId="1584D9C7" w14:textId="6B7D1C91" w:rsidR="00734105" w:rsidRDefault="00734105" w:rsidP="0024708A">
            <w:r>
              <w:t>T</w:t>
            </w:r>
            <w:r w:rsidRPr="00734105">
              <w:t xml:space="preserve">he chemistry of </w:t>
            </w:r>
            <w:proofErr w:type="spellStart"/>
            <w:r w:rsidRPr="00734105">
              <w:t>capsaicinoids</w:t>
            </w:r>
            <w:proofErr w:type="spellEnd"/>
            <w:r w:rsidRPr="00734105">
              <w:t xml:space="preserve"> and the properties they give to chillies.</w:t>
            </w:r>
            <w:r>
              <w:t xml:space="preserve"> Suitable for post-16 students.</w:t>
            </w:r>
          </w:p>
        </w:tc>
        <w:tc>
          <w:tcPr>
            <w:tcW w:w="0" w:type="auto"/>
          </w:tcPr>
          <w:p w14:paraId="24A36257" w14:textId="3B801245" w:rsidR="00734105" w:rsidRDefault="00734105" w:rsidP="00663D77">
            <w:r>
              <w:t xml:space="preserve">Includes information and questions on using high performance liquid chromatography (HPLC) to </w:t>
            </w:r>
            <w:r w:rsidR="004327C9">
              <w:t>measure how hot chilli peppers are.</w:t>
            </w:r>
          </w:p>
        </w:tc>
      </w:tr>
      <w:tr w:rsidR="004327C9" w:rsidRPr="00F32AE0" w14:paraId="237540F6" w14:textId="77777777" w:rsidTr="006331C2">
        <w:tc>
          <w:tcPr>
            <w:tcW w:w="0" w:type="auto"/>
          </w:tcPr>
          <w:p w14:paraId="5BB6120F" w14:textId="04563786" w:rsidR="004327C9" w:rsidRPr="00734105" w:rsidRDefault="004327C9" w:rsidP="0024708A">
            <w:r w:rsidRPr="004327C9">
              <w:t>The chemistry of flavour</w:t>
            </w:r>
            <w:r>
              <w:br/>
            </w:r>
            <w:hyperlink r:id="rId20" w:history="1">
              <w:r w:rsidRPr="008B5B45">
                <w:rPr>
                  <w:rStyle w:val="Hyperlink"/>
                </w:rPr>
                <w:t>rsc.li/2kUbFze</w:t>
              </w:r>
            </w:hyperlink>
          </w:p>
        </w:tc>
        <w:tc>
          <w:tcPr>
            <w:tcW w:w="0" w:type="auto"/>
          </w:tcPr>
          <w:p w14:paraId="72DFC381" w14:textId="022D5BB3" w:rsidR="004327C9" w:rsidRDefault="004327C9" w:rsidP="0024708A">
            <w:r>
              <w:t>Videos and worksheets on the chemistry of flavour. Suitable for post-16 students.</w:t>
            </w:r>
          </w:p>
        </w:tc>
        <w:tc>
          <w:tcPr>
            <w:tcW w:w="0" w:type="auto"/>
          </w:tcPr>
          <w:p w14:paraId="0D5C27F3" w14:textId="5C762541" w:rsidR="004327C9" w:rsidRDefault="00663D77" w:rsidP="00663D77">
            <w:r>
              <w:t xml:space="preserve">Contains </w:t>
            </w:r>
            <w:r w:rsidR="004327C9">
              <w:t>information and questions on using gas chromatography-mass spectroscopy (GCMS) to investigate the flavour compounds of soft drinks.</w:t>
            </w:r>
          </w:p>
        </w:tc>
      </w:tr>
      <w:tr w:rsidR="00663D77" w:rsidRPr="00F32AE0" w14:paraId="49876E7E" w14:textId="77777777" w:rsidTr="006331C2">
        <w:tc>
          <w:tcPr>
            <w:tcW w:w="0" w:type="auto"/>
          </w:tcPr>
          <w:p w14:paraId="460B3A73" w14:textId="41D73D53" w:rsidR="00663D77" w:rsidRPr="004327C9" w:rsidRDefault="00663D77" w:rsidP="00663D77">
            <w:r>
              <w:t>Chemistry at the races</w:t>
            </w:r>
            <w:r>
              <w:br/>
            </w:r>
            <w:hyperlink r:id="rId21" w:history="1">
              <w:r w:rsidRPr="008B5B45">
                <w:rPr>
                  <w:rStyle w:val="Hyperlink"/>
                </w:rPr>
                <w:t>rsc.li/2jUdEmY</w:t>
              </w:r>
            </w:hyperlink>
          </w:p>
        </w:tc>
        <w:tc>
          <w:tcPr>
            <w:tcW w:w="0" w:type="auto"/>
          </w:tcPr>
          <w:p w14:paraId="37CE2CB6" w14:textId="2D4FAE22" w:rsidR="00663D77" w:rsidRDefault="00663D77" w:rsidP="00663D77">
            <w:r>
              <w:t>Post-16 resource loo</w:t>
            </w:r>
            <w:r w:rsidR="00080720">
              <w:t>king at detecting drugs in race</w:t>
            </w:r>
            <w:r>
              <w:t>horses</w:t>
            </w:r>
          </w:p>
        </w:tc>
        <w:tc>
          <w:tcPr>
            <w:tcW w:w="0" w:type="auto"/>
          </w:tcPr>
          <w:p w14:paraId="7B962146" w14:textId="29DC4F17" w:rsidR="00663D77" w:rsidRDefault="00080720" w:rsidP="00080720">
            <w:r>
              <w:t>Describes the process of testing for drugs in racehorses using chromatography. Contains student questions, including some chromatogram analysis.</w:t>
            </w:r>
          </w:p>
        </w:tc>
      </w:tr>
    </w:tbl>
    <w:p w14:paraId="054408E6" w14:textId="77777777" w:rsidR="001D1E2A" w:rsidRDefault="001D1E2A" w:rsidP="00A66E64"/>
    <w:sectPr w:rsidR="001D1E2A" w:rsidSect="00E331A7">
      <w:footerReference w:type="default" r:id="rId22"/>
      <w:headerReference w:type="first" r:id="rId23"/>
      <w:footerReference w:type="first" r:id="rId2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0A16EFA"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83BA" w14:textId="124F316B" w:rsidR="00A66E64" w:rsidRDefault="00A66E64">
    <w:pPr>
      <w:pStyle w:val="Header"/>
    </w:pPr>
    <w:r>
      <w:rPr>
        <w:noProof/>
        <w:lang w:eastAsia="en-GB"/>
      </w:rPr>
      <w:drawing>
        <wp:anchor distT="0" distB="0" distL="114300" distR="114300" simplePos="0" relativeHeight="251660288" behindDoc="1" locked="0" layoutInCell="1" allowOverlap="1" wp14:anchorId="0DE35BB3" wp14:editId="05828BF7">
          <wp:simplePos x="0" y="0"/>
          <wp:positionH relativeFrom="column">
            <wp:posOffset>4343210</wp:posOffset>
          </wp:positionH>
          <wp:positionV relativeFrom="paragraph">
            <wp:posOffset>-257175</wp:posOffset>
          </wp:positionV>
          <wp:extent cx="1353185" cy="1353185"/>
          <wp:effectExtent l="0" t="0" r="0" b="0"/>
          <wp:wrapTopAndBottom/>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A2583"/>
    <w:multiLevelType w:val="hybridMultilevel"/>
    <w:tmpl w:val="BD98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355C3"/>
    <w:rsid w:val="000610F7"/>
    <w:rsid w:val="000709BF"/>
    <w:rsid w:val="00080720"/>
    <w:rsid w:val="000D3D40"/>
    <w:rsid w:val="000D440E"/>
    <w:rsid w:val="0010603F"/>
    <w:rsid w:val="00112D04"/>
    <w:rsid w:val="001167A2"/>
    <w:rsid w:val="00165309"/>
    <w:rsid w:val="00170457"/>
    <w:rsid w:val="0018383B"/>
    <w:rsid w:val="001B7D18"/>
    <w:rsid w:val="001B7EB7"/>
    <w:rsid w:val="001D1E2A"/>
    <w:rsid w:val="001D7818"/>
    <w:rsid w:val="001E0F30"/>
    <w:rsid w:val="001F2D6F"/>
    <w:rsid w:val="001F589D"/>
    <w:rsid w:val="00200C3D"/>
    <w:rsid w:val="00210131"/>
    <w:rsid w:val="002117FF"/>
    <w:rsid w:val="00232BDF"/>
    <w:rsid w:val="0024708A"/>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27C9"/>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13760"/>
    <w:rsid w:val="006331C2"/>
    <w:rsid w:val="00635F98"/>
    <w:rsid w:val="006437AB"/>
    <w:rsid w:val="006525C2"/>
    <w:rsid w:val="006532A6"/>
    <w:rsid w:val="00662B91"/>
    <w:rsid w:val="00663D77"/>
    <w:rsid w:val="0067206C"/>
    <w:rsid w:val="006758AB"/>
    <w:rsid w:val="0069139D"/>
    <w:rsid w:val="006D3E26"/>
    <w:rsid w:val="006F6F73"/>
    <w:rsid w:val="00707FDD"/>
    <w:rsid w:val="00714A35"/>
    <w:rsid w:val="00723F23"/>
    <w:rsid w:val="00734105"/>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3D2"/>
    <w:rsid w:val="00881418"/>
    <w:rsid w:val="00885B52"/>
    <w:rsid w:val="008A3B63"/>
    <w:rsid w:val="008A6AD0"/>
    <w:rsid w:val="008B3961"/>
    <w:rsid w:val="008C2782"/>
    <w:rsid w:val="008E25FA"/>
    <w:rsid w:val="008E2859"/>
    <w:rsid w:val="0090405B"/>
    <w:rsid w:val="00915C84"/>
    <w:rsid w:val="00920145"/>
    <w:rsid w:val="00923E53"/>
    <w:rsid w:val="00972310"/>
    <w:rsid w:val="00982F78"/>
    <w:rsid w:val="00987FC3"/>
    <w:rsid w:val="009B57E5"/>
    <w:rsid w:val="009C5777"/>
    <w:rsid w:val="009D4E77"/>
    <w:rsid w:val="009F0DFC"/>
    <w:rsid w:val="009F3445"/>
    <w:rsid w:val="00A50EEB"/>
    <w:rsid w:val="00A52886"/>
    <w:rsid w:val="00A66E64"/>
    <w:rsid w:val="00A75F4C"/>
    <w:rsid w:val="00A9584B"/>
    <w:rsid w:val="00AB1738"/>
    <w:rsid w:val="00AF3542"/>
    <w:rsid w:val="00AF776F"/>
    <w:rsid w:val="00B20041"/>
    <w:rsid w:val="00BA512C"/>
    <w:rsid w:val="00BB1F22"/>
    <w:rsid w:val="00C17DDC"/>
    <w:rsid w:val="00C3053B"/>
    <w:rsid w:val="00CD10BF"/>
    <w:rsid w:val="00D174D9"/>
    <w:rsid w:val="00D20A6A"/>
    <w:rsid w:val="00D34A04"/>
    <w:rsid w:val="00D5111B"/>
    <w:rsid w:val="00D60214"/>
    <w:rsid w:val="00D62F8A"/>
    <w:rsid w:val="00D71A1A"/>
    <w:rsid w:val="00D90054"/>
    <w:rsid w:val="00D91A0B"/>
    <w:rsid w:val="00DC64EC"/>
    <w:rsid w:val="00DD6FD3"/>
    <w:rsid w:val="00E15396"/>
    <w:rsid w:val="00E160E0"/>
    <w:rsid w:val="00E17C67"/>
    <w:rsid w:val="00E331A7"/>
    <w:rsid w:val="00E47850"/>
    <w:rsid w:val="00E47D2B"/>
    <w:rsid w:val="00E5491A"/>
    <w:rsid w:val="00E61773"/>
    <w:rsid w:val="00E86125"/>
    <w:rsid w:val="00E865E9"/>
    <w:rsid w:val="00EA0301"/>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54408C6"/>
  <w15:docId w15:val="{598E9C9D-C3A6-4014-8C2C-A354C568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24708A"/>
    <w:rPr>
      <w:sz w:val="16"/>
      <w:szCs w:val="16"/>
    </w:rPr>
  </w:style>
  <w:style w:type="paragraph" w:styleId="CommentText">
    <w:name w:val="annotation text"/>
    <w:basedOn w:val="Normal"/>
    <w:link w:val="CommentTextChar"/>
    <w:uiPriority w:val="99"/>
    <w:semiHidden/>
    <w:unhideWhenUsed/>
    <w:rsid w:val="0024708A"/>
    <w:pPr>
      <w:keepLines w:val="0"/>
      <w:spacing w:after="16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2470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sc.li/2jKL6yF" TargetMode="External"/><Relationship Id="rId18" Type="http://schemas.openxmlformats.org/officeDocument/2006/relationships/hyperlink" Target="http://rsc.li/2kfR5u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sc.li/2jUdEmY" TargetMode="External"/><Relationship Id="rId7" Type="http://schemas.openxmlformats.org/officeDocument/2006/relationships/webSettings" Target="webSettings.xml"/><Relationship Id="rId12" Type="http://schemas.openxmlformats.org/officeDocument/2006/relationships/hyperlink" Target="http://rsc.li/2kGjedu" TargetMode="External"/><Relationship Id="rId17" Type="http://schemas.openxmlformats.org/officeDocument/2006/relationships/hyperlink" Target="http://rsc.li/2kQaCo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sc.li/2kKuOrd" TargetMode="External"/><Relationship Id="rId20" Type="http://schemas.openxmlformats.org/officeDocument/2006/relationships/hyperlink" Target="http://rsc.li/2kUbFz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2jKyMia"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rsc.li/2k98Vip" TargetMode="External"/><Relationship Id="rId23" Type="http://schemas.openxmlformats.org/officeDocument/2006/relationships/header" Target="header1.xml"/><Relationship Id="rId10" Type="http://schemas.openxmlformats.org/officeDocument/2006/relationships/hyperlink" Target="https://eic.rsc.org/2500327.article" TargetMode="External"/><Relationship Id="rId19" Type="http://schemas.openxmlformats.org/officeDocument/2006/relationships/hyperlink" Target="http://rsc.li/2kUip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sc.li/2kLK1E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571</Words>
  <Characters>3335</Characters>
  <Application>Microsoft Office Word</Application>
  <DocSecurity>0</DocSecurity>
  <Lines>74</Lines>
  <Paragraphs>62</Paragraphs>
  <ScaleCrop>false</ScaleCrop>
  <HeadingPairs>
    <vt:vector size="2" baseType="variant">
      <vt:variant>
        <vt:lpstr>Title</vt:lpstr>
      </vt:variant>
      <vt:variant>
        <vt:i4>1</vt:i4>
      </vt:variant>
    </vt:vector>
  </HeadingPairs>
  <TitlesOfParts>
    <vt:vector size="1" baseType="lpstr">
      <vt:lpstr>A4 Word portrait template</vt:lpstr>
    </vt:vector>
  </TitlesOfParts>
  <Company>Royal Society of Chemistry</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Word portrait template</dc:title>
  <dc:creator>Royal Society of Chemistry</dc:creator>
  <cp:lastModifiedBy>David Sait</cp:lastModifiedBy>
  <cp:revision>8</cp:revision>
  <dcterms:created xsi:type="dcterms:W3CDTF">2017-01-30T15:34:00Z</dcterms:created>
  <dcterms:modified xsi:type="dcterms:W3CDTF">2017-03-02T15:33:00Z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