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A6C" w14:textId="0FB98239" w:rsidR="00E42AF7" w:rsidRPr="002B16D7" w:rsidRDefault="004D4EB0" w:rsidP="002B16D7">
      <w:pPr>
        <w:pStyle w:val="Leadparagraph"/>
        <w:rPr>
          <w:rFonts w:eastAsiaTheme="majorEastAsia" w:cstheme="majorBidi"/>
          <w:bCs/>
          <w:color w:val="2C4D67"/>
          <w:sz w:val="28"/>
          <w:szCs w:val="30"/>
        </w:rPr>
      </w:pPr>
      <w:r>
        <w:rPr>
          <w:rFonts w:eastAsiaTheme="majorEastAsia" w:cstheme="majorBidi"/>
          <w:bCs/>
          <w:color w:val="2C4D67"/>
          <w:sz w:val="28"/>
          <w:szCs w:val="30"/>
        </w:rPr>
        <w:t>Teaching ideas – complete</w:t>
      </w:r>
    </w:p>
    <w:p w14:paraId="054408C7" w14:textId="69022F0C" w:rsidR="00D71A1A" w:rsidRPr="007C1813" w:rsidRDefault="009875B2" w:rsidP="007C1813">
      <w:pPr>
        <w:pStyle w:val="Leadparagraph"/>
      </w:pPr>
      <w:r w:rsidRPr="009875B2">
        <w:rPr>
          <w:rStyle w:val="LeadparagraphChar"/>
          <w:b/>
          <w:i/>
        </w:rPr>
        <w:t>Education in Chemistry</w:t>
      </w:r>
      <w:r>
        <w:rPr>
          <w:rStyle w:val="LeadparagraphChar"/>
          <w:b/>
        </w:rPr>
        <w:br/>
      </w:r>
      <w:r w:rsidR="00F65649">
        <w:rPr>
          <w:rStyle w:val="LeadparagraphChar"/>
        </w:rPr>
        <w:t>September</w:t>
      </w:r>
      <w:r w:rsidRPr="009875B2">
        <w:rPr>
          <w:rStyle w:val="LeadparagraphChar"/>
        </w:rPr>
        <w:t xml:space="preserve"> 2017</w:t>
      </w:r>
      <w:r>
        <w:rPr>
          <w:rStyle w:val="LeadparagraphChar"/>
          <w:b/>
        </w:rPr>
        <w:br/>
      </w:r>
      <w:hyperlink r:id="rId10" w:history="1">
        <w:r w:rsidR="003E2C43" w:rsidRPr="003E2C43">
          <w:rPr>
            <w:rStyle w:val="Hyperlink"/>
            <w:b w:val="0"/>
          </w:rPr>
          <w:t>rsc.li/EiC517-know-your-poison</w:t>
        </w:r>
      </w:hyperlink>
    </w:p>
    <w:p w14:paraId="1C8887F4" w14:textId="7EFD555E" w:rsidR="002B16D7" w:rsidRDefault="00E42AF7" w:rsidP="0060654E">
      <w:pPr>
        <w:pStyle w:val="Leadparagraph"/>
        <w:spacing w:after="120"/>
      </w:pPr>
      <w:r>
        <w:t>This experiment accompanies the above article ‘</w:t>
      </w:r>
      <w:r w:rsidR="005C2B6B">
        <w:t>Know your poison’</w:t>
      </w:r>
      <w:r>
        <w:t>.</w:t>
      </w:r>
    </w:p>
    <w:p w14:paraId="0E77C2C5" w14:textId="77777777" w:rsidR="00872630" w:rsidRDefault="00872630" w:rsidP="00872630">
      <w:pPr>
        <w:pStyle w:val="Heading2"/>
        <w:spacing w:before="0"/>
        <w:rPr>
          <w:bCs/>
        </w:rPr>
      </w:pPr>
      <w:r>
        <w:rPr>
          <w:bCs/>
        </w:rPr>
        <w:t>In your class</w:t>
      </w:r>
    </w:p>
    <w:p w14:paraId="52F9CA8B" w14:textId="56588E0E" w:rsidR="00872630" w:rsidRDefault="00872630" w:rsidP="00F2224E">
      <w:pPr>
        <w:keepLines w:val="0"/>
        <w:spacing w:after="0" w:line="234" w:lineRule="atLeast"/>
        <w:ind w:right="150"/>
        <w:rPr>
          <w:rFonts w:eastAsia="Times New Roman"/>
          <w:color w:val="000000" w:themeColor="text1"/>
          <w:lang w:eastAsia="en-GB"/>
        </w:rPr>
      </w:pPr>
      <w:r w:rsidRPr="00F2224E">
        <w:rPr>
          <w:rFonts w:eastAsia="Times New Roman"/>
          <w:color w:val="000000" w:themeColor="text1"/>
          <w:lang w:eastAsia="en-GB"/>
        </w:rPr>
        <w:t>This article discusses many topics covered in intermediate and advanced level chemistry courses including chemical and spectroscopic analysis. It provides one interesting context to these topics and highlights ethical issues scientists can face. Pupils preparing for interviews for medicine, pharmacy or other areas where confident discussion of the ethical considerations of scientific thought and action is desired may find this useful. The narrative could be handy for form time, PSHE or even assemblies.</w:t>
      </w:r>
    </w:p>
    <w:p w14:paraId="1E4E8F99" w14:textId="77777777" w:rsidR="00FA6A03" w:rsidRPr="00F2224E" w:rsidRDefault="00FA6A03" w:rsidP="00F2224E">
      <w:pPr>
        <w:keepLines w:val="0"/>
        <w:spacing w:after="0" w:line="234" w:lineRule="atLeast"/>
        <w:ind w:right="150"/>
        <w:rPr>
          <w:rFonts w:eastAsia="Times New Roman"/>
          <w:color w:val="000000" w:themeColor="text1"/>
          <w:lang w:eastAsia="en-GB"/>
        </w:rPr>
      </w:pPr>
    </w:p>
    <w:p w14:paraId="6C640CD1" w14:textId="63DDFC80" w:rsidR="00872630" w:rsidRPr="00872630" w:rsidRDefault="00872630" w:rsidP="00872630">
      <w:r w:rsidRPr="00F2224E">
        <w:rPr>
          <w:i/>
        </w:rPr>
        <w:t>Download the text of this article, and all the related teaching resources, worksheets and experiments from the</w:t>
      </w:r>
      <w:r w:rsidRPr="00872630">
        <w:t xml:space="preserve"> Education in Chemistry</w:t>
      </w:r>
      <w:r w:rsidRPr="00F2224E">
        <w:rPr>
          <w:i/>
        </w:rPr>
        <w:t xml:space="preserve"> website</w:t>
      </w:r>
      <w:r w:rsidRPr="00872630">
        <w:t>:</w:t>
      </w:r>
      <w:r>
        <w:t xml:space="preserve"> </w:t>
      </w:r>
      <w:hyperlink r:id="rId11" w:history="1">
        <w:r w:rsidRPr="00A1739F">
          <w:rPr>
            <w:rStyle w:val="Hyperlink"/>
          </w:rPr>
          <w:t>rsc.li/EiC517-know-your-poison</w:t>
        </w:r>
      </w:hyperlink>
    </w:p>
    <w:p w14:paraId="49BD2EE5" w14:textId="77777777" w:rsidR="00FA6A03" w:rsidRDefault="00FA6A03" w:rsidP="00FA6A03">
      <w:pPr>
        <w:pStyle w:val="Heading2"/>
        <w:spacing w:before="0"/>
        <w:rPr>
          <w:bCs/>
        </w:rPr>
      </w:pPr>
      <w:r>
        <w:rPr>
          <w:bCs/>
        </w:rPr>
        <w:t>Detective work</w:t>
      </w:r>
    </w:p>
    <w:p w14:paraId="3157C196" w14:textId="62C92C7F" w:rsidR="00872630" w:rsidRDefault="00FA6A03" w:rsidP="00FA6A03">
      <w:pPr>
        <w:pStyle w:val="Heading2"/>
        <w:spacing w:before="0"/>
        <w:rPr>
          <w:rFonts w:eastAsia="Times New Roman"/>
          <w:b w:val="0"/>
          <w:i/>
          <w:color w:val="000000" w:themeColor="text1"/>
          <w:sz w:val="20"/>
          <w:szCs w:val="20"/>
          <w:lang w:eastAsia="en-GB"/>
        </w:rPr>
      </w:pPr>
      <w:r w:rsidRPr="00FA6A03">
        <w:rPr>
          <w:rFonts w:eastAsia="Times New Roman"/>
          <w:b w:val="0"/>
          <w:i/>
          <w:color w:val="000000" w:themeColor="text1"/>
          <w:sz w:val="20"/>
          <w:szCs w:val="20"/>
          <w:lang w:eastAsia="en-GB"/>
        </w:rPr>
        <w:t>(</w:t>
      </w:r>
      <w:r w:rsidR="00ED1592" w:rsidRPr="00FA6A03">
        <w:rPr>
          <w:rFonts w:eastAsia="Times New Roman"/>
          <w:b w:val="0"/>
          <w:i/>
          <w:color w:val="000000" w:themeColor="text1"/>
          <w:sz w:val="20"/>
          <w:szCs w:val="20"/>
          <w:lang w:eastAsia="en-GB"/>
        </w:rPr>
        <w:t>Chemical analysis experiments, ages 11–14 and 14–16</w:t>
      </w:r>
      <w:r w:rsidRPr="00FA6A03">
        <w:rPr>
          <w:rFonts w:eastAsia="Times New Roman"/>
          <w:b w:val="0"/>
          <w:i/>
          <w:color w:val="000000" w:themeColor="text1"/>
          <w:sz w:val="20"/>
          <w:szCs w:val="20"/>
          <w:lang w:eastAsia="en-GB"/>
        </w:rPr>
        <w:t>)</w:t>
      </w:r>
    </w:p>
    <w:p w14:paraId="335FBF58" w14:textId="77777777" w:rsidR="00FA6A03" w:rsidRDefault="00FA6A03" w:rsidP="00ED1592">
      <w:pPr>
        <w:keepLines w:val="0"/>
        <w:spacing w:after="0" w:line="234" w:lineRule="atLeast"/>
        <w:ind w:right="150"/>
        <w:rPr>
          <w:rFonts w:eastAsia="Times New Roman"/>
          <w:color w:val="000000" w:themeColor="text1"/>
          <w:lang w:eastAsia="en-GB"/>
        </w:rPr>
      </w:pPr>
    </w:p>
    <w:p w14:paraId="014BACF9" w14:textId="02A5F2C9" w:rsidR="00ED1592" w:rsidRPr="00ED1592" w:rsidRDefault="00ED1592" w:rsidP="00ED1592">
      <w:pPr>
        <w:keepLines w:val="0"/>
        <w:spacing w:after="0" w:line="234" w:lineRule="atLeast"/>
        <w:ind w:right="150"/>
        <w:rPr>
          <w:rFonts w:eastAsia="Times New Roman"/>
          <w:color w:val="000000" w:themeColor="text1"/>
          <w:lang w:eastAsia="en-GB"/>
        </w:rPr>
      </w:pPr>
      <w:r w:rsidRPr="00ED1592">
        <w:rPr>
          <w:rFonts w:eastAsia="Times New Roman"/>
          <w:color w:val="000000" w:themeColor="text1"/>
          <w:lang w:eastAsia="en-GB"/>
        </w:rPr>
        <w:t>Guy set up a website offering simple chemical tests that can identify drugs by producing a colour change. Simple test tube analysis lends itself to practical work, but can often feel like a series of facts to learn. Questions in this area are becoming increasingly sophisticated, using contexts to ask pupils to plan an analysis that distinguishes between different samples.</w:t>
      </w:r>
    </w:p>
    <w:p w14:paraId="14C31F4B" w14:textId="2101C916" w:rsidR="00F65649" w:rsidRPr="00A1739F" w:rsidRDefault="00ED1592" w:rsidP="00ED1592">
      <w:pPr>
        <w:keepLines w:val="0"/>
        <w:spacing w:after="0" w:line="234" w:lineRule="atLeast"/>
        <w:ind w:right="150"/>
        <w:rPr>
          <w:rFonts w:eastAsia="Times New Roman"/>
          <w:color w:val="000000" w:themeColor="text1"/>
          <w:lang w:eastAsia="en-GB"/>
        </w:rPr>
      </w:pPr>
      <w:r w:rsidRPr="00ED1592">
        <w:rPr>
          <w:rFonts w:eastAsia="Times New Roman"/>
          <w:color w:val="000000" w:themeColor="text1"/>
          <w:lang w:eastAsia="en-GB"/>
        </w:rPr>
        <w:t>The accompanying resources get students doing pupils doing detective work with chemical tests. They provide scaffolding and support for lower achieving or younger students and a challenge for those who have significant prior knowledge and need to practice the skill of planning.  As some foodstuffs are included in the mixtures, food tests are included to provide a cross-curricular resource that may be particularly useful for double science classes. </w:t>
      </w:r>
    </w:p>
    <w:p w14:paraId="5C8C1493" w14:textId="77777777" w:rsidR="00ED1592" w:rsidRPr="00A1739F" w:rsidRDefault="00ED1592" w:rsidP="00ED1592">
      <w:pPr>
        <w:keepLines w:val="0"/>
        <w:spacing w:after="0" w:line="234" w:lineRule="atLeast"/>
        <w:ind w:right="150"/>
        <w:rPr>
          <w:rFonts w:eastAsia="Times New Roman"/>
          <w:color w:val="000000" w:themeColor="text1"/>
          <w:lang w:eastAsia="en-GB"/>
        </w:rPr>
      </w:pPr>
    </w:p>
    <w:p w14:paraId="09C0DE77" w14:textId="375CD4BF" w:rsidR="00A1739F" w:rsidRPr="00A1739F" w:rsidRDefault="00004BC8" w:rsidP="00ED1592">
      <w:pPr>
        <w:rPr>
          <w:color w:val="000000" w:themeColor="text1"/>
          <w:shd w:val="clear" w:color="auto" w:fill="F8F7F1"/>
        </w:rPr>
      </w:pPr>
      <w:r w:rsidRPr="00004BC8">
        <w:rPr>
          <w:i/>
          <w:iCs/>
          <w:color w:val="000000" w:themeColor="text1"/>
        </w:rPr>
        <w:t>Download the student handouts and teacher notes from the </w:t>
      </w:r>
      <w:r w:rsidRPr="00AD5433">
        <w:rPr>
          <w:color w:val="000000" w:themeColor="text1"/>
        </w:rPr>
        <w:t>Education in Chemistry</w:t>
      </w:r>
      <w:r w:rsidRPr="00004BC8">
        <w:rPr>
          <w:i/>
          <w:iCs/>
          <w:color w:val="000000" w:themeColor="text1"/>
        </w:rPr>
        <w:t> website</w:t>
      </w:r>
      <w:r w:rsidR="00ED1592" w:rsidRPr="00A1739F">
        <w:rPr>
          <w:i/>
          <w:color w:val="000000" w:themeColor="text1"/>
        </w:rPr>
        <w:t>:</w:t>
      </w:r>
      <w:r w:rsidR="00ED1592" w:rsidRPr="00A1739F">
        <w:rPr>
          <w:rStyle w:val="Emphasis"/>
          <w:i w:val="0"/>
          <w:iCs w:val="0"/>
          <w:color w:val="000000" w:themeColor="text1"/>
          <w:shd w:val="clear" w:color="auto" w:fill="F8F7F1"/>
        </w:rPr>
        <w:t xml:space="preserve"> </w:t>
      </w:r>
      <w:hyperlink r:id="rId12" w:history="1">
        <w:r w:rsidR="00EF17AF">
          <w:rPr>
            <w:rStyle w:val="Hyperlink"/>
          </w:rPr>
          <w:t>http://rsc.li/EiC517-know-your-poison</w:t>
        </w:r>
      </w:hyperlink>
    </w:p>
    <w:p w14:paraId="6BA26993" w14:textId="457FFA06" w:rsidR="000108F3" w:rsidRDefault="000108F3" w:rsidP="00872630">
      <w:pPr>
        <w:spacing w:after="0"/>
        <w:rPr>
          <w:b/>
          <w:color w:val="2C4D67"/>
          <w:sz w:val="26"/>
          <w:szCs w:val="26"/>
        </w:rPr>
      </w:pPr>
      <w:r>
        <w:rPr>
          <w:b/>
          <w:color w:val="2C4D67"/>
          <w:sz w:val="26"/>
          <w:szCs w:val="26"/>
        </w:rPr>
        <w:t>Matching molecular fingerprints</w:t>
      </w:r>
    </w:p>
    <w:p w14:paraId="0A2AD4A2" w14:textId="2C342834" w:rsidR="00F65649" w:rsidRPr="000108F3" w:rsidRDefault="000108F3" w:rsidP="00872630">
      <w:pPr>
        <w:spacing w:after="0"/>
        <w:rPr>
          <w:rFonts w:eastAsia="Times New Roman"/>
          <w:i/>
          <w:color w:val="000000" w:themeColor="text1"/>
          <w:lang w:eastAsia="en-GB"/>
        </w:rPr>
      </w:pPr>
      <w:r>
        <w:rPr>
          <w:rFonts w:eastAsia="Times New Roman"/>
          <w:i/>
          <w:color w:val="000000" w:themeColor="text1"/>
          <w:lang w:eastAsia="en-GB"/>
        </w:rPr>
        <w:t>(</w:t>
      </w:r>
      <w:r w:rsidR="004552CB" w:rsidRPr="000108F3">
        <w:rPr>
          <w:rFonts w:eastAsia="Times New Roman"/>
          <w:i/>
          <w:color w:val="000000" w:themeColor="text1"/>
          <w:lang w:eastAsia="en-GB"/>
        </w:rPr>
        <w:t>Spectroscopy activity or homework, age 16–18</w:t>
      </w:r>
      <w:r>
        <w:rPr>
          <w:rFonts w:eastAsia="Times New Roman"/>
          <w:i/>
          <w:color w:val="000000" w:themeColor="text1"/>
          <w:lang w:eastAsia="en-GB"/>
        </w:rPr>
        <w:t>)</w:t>
      </w:r>
    </w:p>
    <w:p w14:paraId="1775DF06" w14:textId="77777777" w:rsidR="000108F3" w:rsidRDefault="000108F3" w:rsidP="00872630">
      <w:pPr>
        <w:keepLines w:val="0"/>
        <w:spacing w:after="0" w:line="234" w:lineRule="atLeast"/>
        <w:ind w:right="150"/>
        <w:rPr>
          <w:rFonts w:eastAsia="Times New Roman"/>
          <w:color w:val="000000" w:themeColor="text1"/>
          <w:lang w:eastAsia="en-GB"/>
        </w:rPr>
      </w:pPr>
    </w:p>
    <w:p w14:paraId="065D0C5A" w14:textId="4E83202B" w:rsidR="004552CB" w:rsidRPr="004552CB" w:rsidRDefault="004552CB" w:rsidP="00872630">
      <w:pPr>
        <w:keepLines w:val="0"/>
        <w:spacing w:after="0" w:line="234" w:lineRule="atLeast"/>
        <w:ind w:right="150"/>
        <w:rPr>
          <w:rFonts w:eastAsia="Times New Roman"/>
          <w:color w:val="000000" w:themeColor="text1"/>
          <w:lang w:eastAsia="en-GB"/>
        </w:rPr>
      </w:pPr>
      <w:r w:rsidRPr="004552CB">
        <w:rPr>
          <w:rFonts w:eastAsia="Times New Roman"/>
          <w:color w:val="000000" w:themeColor="text1"/>
          <w:lang w:eastAsia="en-GB"/>
        </w:rPr>
        <w:t>Advanced chemistry courses cover all the spectroscopy techniques mentioned in this article.</w:t>
      </w:r>
    </w:p>
    <w:p w14:paraId="3AAF94DD" w14:textId="091E2DC1" w:rsidR="004552CB" w:rsidRPr="00A1739F" w:rsidRDefault="004552CB" w:rsidP="00872630">
      <w:pPr>
        <w:keepLines w:val="0"/>
        <w:spacing w:after="0" w:line="234" w:lineRule="atLeast"/>
        <w:ind w:right="150"/>
        <w:rPr>
          <w:rFonts w:eastAsia="Times New Roman"/>
          <w:color w:val="000000" w:themeColor="text1"/>
          <w:lang w:eastAsia="en-GB"/>
        </w:rPr>
      </w:pPr>
      <w:r w:rsidRPr="004552CB">
        <w:rPr>
          <w:rFonts w:eastAsia="Times New Roman"/>
          <w:color w:val="000000" w:themeColor="text1"/>
          <w:lang w:eastAsia="en-GB"/>
        </w:rPr>
        <w:t>Ian Blagbrough’s team at the University of Bath have found unexpected substances mixed with drugs including painkillers. The Bath team can identify what’s in the mixtures from the spectra they produce. This activity asks pupils to match the peaks in infrared, </w:t>
      </w:r>
      <w:r w:rsidRPr="004552CB">
        <w:rPr>
          <w:rFonts w:eastAsia="Times New Roman"/>
          <w:color w:val="000000" w:themeColor="text1"/>
          <w:vertAlign w:val="superscript"/>
          <w:lang w:eastAsia="en-GB"/>
        </w:rPr>
        <w:t>1</w:t>
      </w:r>
      <w:r w:rsidRPr="004552CB">
        <w:rPr>
          <w:rFonts w:eastAsia="Times New Roman"/>
          <w:color w:val="000000" w:themeColor="text1"/>
          <w:lang w:eastAsia="en-GB"/>
        </w:rPr>
        <w:t>H NMR, </w:t>
      </w:r>
      <w:r w:rsidRPr="004552CB">
        <w:rPr>
          <w:rFonts w:eastAsia="Times New Roman"/>
          <w:color w:val="000000" w:themeColor="text1"/>
          <w:vertAlign w:val="superscript"/>
          <w:lang w:eastAsia="en-GB"/>
        </w:rPr>
        <w:t>13</w:t>
      </w:r>
      <w:r w:rsidRPr="004552CB">
        <w:rPr>
          <w:rFonts w:eastAsia="Times New Roman"/>
          <w:color w:val="000000" w:themeColor="text1"/>
          <w:lang w:eastAsia="en-GB"/>
        </w:rPr>
        <w:t>C NMR and mass spectra for paracetamol, ibuprofen and aspirin with the functional groups present in these molecules.</w:t>
      </w:r>
    </w:p>
    <w:p w14:paraId="65CDED7F" w14:textId="35A743CC" w:rsidR="004552CB" w:rsidRDefault="004552CB" w:rsidP="004552CB">
      <w:pPr>
        <w:keepLines w:val="0"/>
        <w:spacing w:after="0" w:line="234" w:lineRule="atLeast"/>
        <w:ind w:right="150"/>
        <w:rPr>
          <w:rFonts w:eastAsia="Times New Roman"/>
          <w:color w:val="000000" w:themeColor="text1"/>
          <w:lang w:eastAsia="en-GB"/>
        </w:rPr>
      </w:pPr>
    </w:p>
    <w:p w14:paraId="6CE0C412" w14:textId="2DEFF82D" w:rsidR="00004BC8" w:rsidRDefault="00004BC8" w:rsidP="004552CB">
      <w:pPr>
        <w:keepLines w:val="0"/>
        <w:spacing w:after="0" w:line="234" w:lineRule="atLeast"/>
        <w:ind w:right="150"/>
        <w:rPr>
          <w:rFonts w:eastAsia="Times New Roman"/>
          <w:color w:val="000000" w:themeColor="text1"/>
          <w:lang w:eastAsia="en-GB"/>
        </w:rPr>
      </w:pPr>
      <w:r w:rsidRPr="00004BC8">
        <w:rPr>
          <w:rFonts w:eastAsia="Times New Roman"/>
          <w:color w:val="000000" w:themeColor="text1"/>
          <w:lang w:eastAsia="en-GB"/>
        </w:rPr>
        <w:t>There is also a wealth of resources to support spectroscopy teaching on the Learn Chemistry site. Most of these are within </w:t>
      </w:r>
      <w:hyperlink r:id="rId13" w:history="1">
        <w:r w:rsidRPr="00004BC8">
          <w:rPr>
            <w:rStyle w:val="Hyperlink"/>
            <w:rFonts w:eastAsia="Times New Roman"/>
            <w:lang w:eastAsia="en-GB"/>
          </w:rPr>
          <w:t>SpectraSchool</w:t>
        </w:r>
      </w:hyperlink>
      <w:r w:rsidRPr="00004BC8">
        <w:rPr>
          <w:rFonts w:eastAsia="Times New Roman"/>
          <w:color w:val="000000" w:themeColor="text1"/>
          <w:lang w:eastAsia="en-GB"/>
        </w:rPr>
        <w:t>.</w:t>
      </w:r>
    </w:p>
    <w:p w14:paraId="6A109C54" w14:textId="35AEC0BD" w:rsidR="00004BC8" w:rsidRDefault="00004BC8" w:rsidP="004552CB">
      <w:pPr>
        <w:keepLines w:val="0"/>
        <w:spacing w:after="0" w:line="234" w:lineRule="atLeast"/>
        <w:ind w:right="150"/>
        <w:rPr>
          <w:rFonts w:eastAsia="Times New Roman"/>
          <w:color w:val="000000" w:themeColor="text1"/>
          <w:lang w:eastAsia="en-GB"/>
        </w:rPr>
      </w:pPr>
    </w:p>
    <w:p w14:paraId="0C24EB9B" w14:textId="441C8781" w:rsidR="00004BC8" w:rsidRDefault="00004BC8" w:rsidP="004552CB">
      <w:pPr>
        <w:keepLines w:val="0"/>
        <w:spacing w:after="0" w:line="234" w:lineRule="atLeast"/>
        <w:ind w:right="150"/>
      </w:pPr>
      <w:r>
        <w:t>Pupils can get hands on experience of spectroscopy with the Royal Society of Chemistry’s spectroscopy in a suitcase scheme (SIAS). Find out how to book at</w:t>
      </w:r>
      <w:r w:rsidRPr="00EF17AF">
        <w:t> </w:t>
      </w:r>
      <w:hyperlink r:id="rId14" w:history="1">
        <w:r w:rsidRPr="00EF17AF">
          <w:rPr>
            <w:rStyle w:val="Hyperlink"/>
            <w:shd w:val="clear" w:color="auto" w:fill="F8F7F1"/>
          </w:rPr>
          <w:t>rsc.li/sias</w:t>
        </w:r>
      </w:hyperlink>
    </w:p>
    <w:p w14:paraId="384EC882" w14:textId="77777777" w:rsidR="00004BC8" w:rsidRPr="004552CB" w:rsidRDefault="00004BC8" w:rsidP="004552CB">
      <w:pPr>
        <w:keepLines w:val="0"/>
        <w:spacing w:after="0" w:line="234" w:lineRule="atLeast"/>
        <w:ind w:right="150"/>
        <w:rPr>
          <w:rFonts w:eastAsia="Times New Roman"/>
          <w:color w:val="000000" w:themeColor="text1"/>
          <w:lang w:eastAsia="en-GB"/>
        </w:rPr>
      </w:pPr>
    </w:p>
    <w:p w14:paraId="0389186D" w14:textId="283C2DA9" w:rsidR="004552CB" w:rsidRPr="00A1739F" w:rsidRDefault="00004BC8" w:rsidP="004552CB">
      <w:pPr>
        <w:rPr>
          <w:color w:val="000000" w:themeColor="text1"/>
        </w:rPr>
      </w:pPr>
      <w:r w:rsidRPr="00004BC8">
        <w:rPr>
          <w:i/>
          <w:iCs/>
          <w:color w:val="000000" w:themeColor="text1"/>
        </w:rPr>
        <w:t>Download the student handout</w:t>
      </w:r>
      <w:r>
        <w:rPr>
          <w:i/>
          <w:iCs/>
          <w:color w:val="000000" w:themeColor="text1"/>
        </w:rPr>
        <w:t xml:space="preserve"> </w:t>
      </w:r>
      <w:r w:rsidR="004552CB" w:rsidRPr="00A1739F">
        <w:rPr>
          <w:i/>
          <w:color w:val="000000" w:themeColor="text1"/>
        </w:rPr>
        <w:t xml:space="preserve">from the </w:t>
      </w:r>
      <w:r w:rsidR="004552CB" w:rsidRPr="00A1739F">
        <w:rPr>
          <w:color w:val="000000" w:themeColor="text1"/>
        </w:rPr>
        <w:t>Education in Chemistry</w:t>
      </w:r>
      <w:r w:rsidR="004552CB" w:rsidRPr="00A1739F">
        <w:rPr>
          <w:i/>
          <w:color w:val="000000" w:themeColor="text1"/>
        </w:rPr>
        <w:t xml:space="preserve"> website:</w:t>
      </w:r>
      <w:r w:rsidR="004552CB" w:rsidRPr="00A1739F">
        <w:rPr>
          <w:rStyle w:val="Emphasis"/>
          <w:i w:val="0"/>
          <w:iCs w:val="0"/>
          <w:color w:val="000000" w:themeColor="text1"/>
          <w:shd w:val="clear" w:color="auto" w:fill="F8F7F1"/>
        </w:rPr>
        <w:t xml:space="preserve"> </w:t>
      </w:r>
      <w:hyperlink r:id="rId15" w:history="1">
        <w:r w:rsidR="00A1739F" w:rsidRPr="00A1739F">
          <w:rPr>
            <w:rStyle w:val="Hyperlink"/>
          </w:rPr>
          <w:t>rsc.li/EiC517-know-your-poison</w:t>
        </w:r>
      </w:hyperlink>
    </w:p>
    <w:p w14:paraId="45AAD748" w14:textId="77777777" w:rsidR="00A655C6" w:rsidRDefault="00A655C6" w:rsidP="00872630">
      <w:pPr>
        <w:spacing w:after="0"/>
        <w:rPr>
          <w:b/>
          <w:bCs/>
          <w:color w:val="2C4D67"/>
          <w:sz w:val="26"/>
          <w:szCs w:val="26"/>
        </w:rPr>
      </w:pPr>
      <w:r>
        <w:rPr>
          <w:b/>
          <w:bCs/>
          <w:color w:val="2C4D67"/>
          <w:sz w:val="26"/>
          <w:szCs w:val="26"/>
        </w:rPr>
        <w:t>Determining dosage</w:t>
      </w:r>
    </w:p>
    <w:p w14:paraId="1F66AF61" w14:textId="42BBF7B8" w:rsidR="00F65649" w:rsidRPr="00A655C6" w:rsidRDefault="00A655C6" w:rsidP="00872630">
      <w:pPr>
        <w:spacing w:after="0"/>
        <w:rPr>
          <w:rFonts w:eastAsia="Times New Roman"/>
          <w:i/>
          <w:color w:val="000000" w:themeColor="text1"/>
          <w:lang w:eastAsia="en-GB"/>
        </w:rPr>
      </w:pPr>
      <w:r>
        <w:rPr>
          <w:rFonts w:eastAsia="Times New Roman"/>
          <w:i/>
          <w:color w:val="000000" w:themeColor="text1"/>
          <w:lang w:eastAsia="en-GB"/>
        </w:rPr>
        <w:t>(</w:t>
      </w:r>
      <w:r w:rsidR="00B33FC6" w:rsidRPr="00A655C6">
        <w:rPr>
          <w:rFonts w:eastAsia="Times New Roman"/>
          <w:i/>
          <w:color w:val="000000" w:themeColor="text1"/>
          <w:lang w:eastAsia="en-GB"/>
        </w:rPr>
        <w:t>Mass loss test science club activity, ages 11–14, 14–16</w:t>
      </w:r>
      <w:r>
        <w:rPr>
          <w:rFonts w:eastAsia="Times New Roman"/>
          <w:i/>
          <w:color w:val="000000" w:themeColor="text1"/>
          <w:lang w:eastAsia="en-GB"/>
        </w:rPr>
        <w:t>)</w:t>
      </w:r>
    </w:p>
    <w:p w14:paraId="4771057D" w14:textId="77777777" w:rsidR="00A655C6" w:rsidRDefault="00A655C6" w:rsidP="00872630">
      <w:pPr>
        <w:spacing w:after="0"/>
        <w:rPr>
          <w:rFonts w:eastAsia="Times New Roman"/>
          <w:color w:val="000000" w:themeColor="text1"/>
          <w:lang w:eastAsia="en-GB"/>
        </w:rPr>
      </w:pPr>
    </w:p>
    <w:p w14:paraId="41BAC1A0" w14:textId="1BDB4EF6" w:rsidR="00F65649" w:rsidRDefault="00B33FC6" w:rsidP="00872630">
      <w:pPr>
        <w:spacing w:after="0"/>
        <w:rPr>
          <w:rFonts w:eastAsia="Times New Roman"/>
          <w:color w:val="000000" w:themeColor="text1"/>
          <w:lang w:eastAsia="en-GB"/>
        </w:rPr>
      </w:pPr>
      <w:r w:rsidRPr="00A1739F">
        <w:rPr>
          <w:rFonts w:eastAsia="Times New Roman"/>
          <w:color w:val="000000" w:themeColor="text1"/>
          <w:lang w:eastAsia="en-GB"/>
        </w:rPr>
        <w:t>Another method of analysis described in the article is a simple mass loss test. This would make an interesting investigation for a science club. The article makes good pre-reading and the pupils can carry out their own mass loss tests using tablets they are familiar with.</w:t>
      </w:r>
    </w:p>
    <w:p w14:paraId="74027CE5" w14:textId="77777777" w:rsidR="00872630" w:rsidRPr="00A1739F" w:rsidRDefault="00872630" w:rsidP="00872630">
      <w:pPr>
        <w:spacing w:after="0"/>
        <w:rPr>
          <w:rFonts w:eastAsia="Times New Roman"/>
          <w:color w:val="000000" w:themeColor="text1"/>
          <w:lang w:eastAsia="en-GB"/>
        </w:rPr>
      </w:pPr>
    </w:p>
    <w:p w14:paraId="61171F9B" w14:textId="688462B1" w:rsidR="00B33FC6" w:rsidRPr="00A1739F" w:rsidRDefault="00994E44" w:rsidP="00B33FC6">
      <w:pPr>
        <w:rPr>
          <w:color w:val="000000" w:themeColor="text1"/>
        </w:rPr>
      </w:pPr>
      <w:r w:rsidRPr="00994E44">
        <w:rPr>
          <w:i/>
          <w:iCs/>
          <w:color w:val="000000" w:themeColor="text1"/>
        </w:rPr>
        <w:t>Download the student handout</w:t>
      </w:r>
      <w:r>
        <w:rPr>
          <w:rStyle w:val="Emphasis"/>
          <w:color w:val="131E20"/>
          <w:shd w:val="clear" w:color="auto" w:fill="F0EEE9"/>
        </w:rPr>
        <w:t xml:space="preserve"> </w:t>
      </w:r>
      <w:r w:rsidR="00B33FC6" w:rsidRPr="00A1739F">
        <w:rPr>
          <w:i/>
          <w:color w:val="000000" w:themeColor="text1"/>
        </w:rPr>
        <w:t xml:space="preserve">from the </w:t>
      </w:r>
      <w:r w:rsidR="00B33FC6" w:rsidRPr="00A1739F">
        <w:rPr>
          <w:color w:val="000000" w:themeColor="text1"/>
        </w:rPr>
        <w:t>Education in Chemistry</w:t>
      </w:r>
      <w:r w:rsidR="00B33FC6" w:rsidRPr="00A1739F">
        <w:rPr>
          <w:i/>
          <w:color w:val="000000" w:themeColor="text1"/>
        </w:rPr>
        <w:t xml:space="preserve"> website:</w:t>
      </w:r>
      <w:r w:rsidR="00B33FC6" w:rsidRPr="00A1739F">
        <w:rPr>
          <w:rStyle w:val="Emphasis"/>
          <w:i w:val="0"/>
          <w:iCs w:val="0"/>
          <w:color w:val="000000" w:themeColor="text1"/>
          <w:shd w:val="clear" w:color="auto" w:fill="F8F7F1"/>
        </w:rPr>
        <w:t xml:space="preserve"> </w:t>
      </w:r>
      <w:hyperlink r:id="rId16" w:history="1">
        <w:r w:rsidR="00A1739F" w:rsidRPr="00A1739F">
          <w:rPr>
            <w:rStyle w:val="Hyperlink"/>
          </w:rPr>
          <w:t>rsc.li/EiC517-know-your-poison</w:t>
        </w:r>
      </w:hyperlink>
    </w:p>
    <w:p w14:paraId="3959D4F1" w14:textId="77777777" w:rsidR="00747183" w:rsidRDefault="00747183" w:rsidP="00872630">
      <w:pPr>
        <w:spacing w:after="0"/>
        <w:rPr>
          <w:b/>
          <w:bCs/>
          <w:color w:val="2C4D67"/>
          <w:sz w:val="26"/>
          <w:szCs w:val="26"/>
        </w:rPr>
      </w:pPr>
      <w:r>
        <w:rPr>
          <w:b/>
          <w:bCs/>
          <w:color w:val="2C4D67"/>
          <w:sz w:val="26"/>
          <w:szCs w:val="26"/>
        </w:rPr>
        <w:t>Reading for understanding</w:t>
      </w:r>
    </w:p>
    <w:p w14:paraId="31E1568E" w14:textId="6F26F88D" w:rsidR="00872630" w:rsidRPr="00747183" w:rsidRDefault="00747183" w:rsidP="00872630">
      <w:pPr>
        <w:spacing w:after="0"/>
        <w:rPr>
          <w:rFonts w:eastAsia="Times New Roman"/>
          <w:i/>
          <w:color w:val="000000" w:themeColor="text1"/>
          <w:lang w:eastAsia="en-GB"/>
        </w:rPr>
      </w:pPr>
      <w:r>
        <w:rPr>
          <w:rFonts w:eastAsia="Times New Roman"/>
          <w:i/>
          <w:color w:val="000000" w:themeColor="text1"/>
          <w:lang w:eastAsia="en-GB"/>
        </w:rPr>
        <w:t>(</w:t>
      </w:r>
      <w:r w:rsidR="00A1739F" w:rsidRPr="00747183">
        <w:rPr>
          <w:rFonts w:eastAsia="Times New Roman"/>
          <w:i/>
          <w:color w:val="000000" w:themeColor="text1"/>
          <w:lang w:eastAsia="en-GB"/>
        </w:rPr>
        <w:t>DART comprehension exercise, age 16–18</w:t>
      </w:r>
      <w:r>
        <w:rPr>
          <w:rFonts w:eastAsia="Times New Roman"/>
          <w:i/>
          <w:color w:val="000000" w:themeColor="text1"/>
          <w:lang w:eastAsia="en-GB"/>
        </w:rPr>
        <w:t>)</w:t>
      </w:r>
    </w:p>
    <w:p w14:paraId="5A803321" w14:textId="77777777" w:rsidR="00747183" w:rsidRDefault="00747183" w:rsidP="00872630">
      <w:pPr>
        <w:spacing w:after="0"/>
      </w:pPr>
    </w:p>
    <w:p w14:paraId="656D7CF0" w14:textId="6A08465C" w:rsidR="00A1739F" w:rsidRDefault="00A1739F" w:rsidP="00872630">
      <w:pPr>
        <w:spacing w:after="0"/>
      </w:pPr>
      <w:r w:rsidRPr="00A1739F">
        <w:t>Literacy is important for success in all examinations and for wider success in school and the workplace. Reading scientific articles can be challenging for pupils and it is useful to scaffold their reading with questions to help their comprehension. This exercise uses focused questioning to help students develop understanding of the key ideas in the article.</w:t>
      </w:r>
    </w:p>
    <w:p w14:paraId="4C2055D6" w14:textId="77777777" w:rsidR="00872630" w:rsidRPr="00872630" w:rsidRDefault="00872630" w:rsidP="00872630">
      <w:pPr>
        <w:spacing w:after="0"/>
        <w:rPr>
          <w:b/>
          <w:bCs/>
          <w:color w:val="2C4D67"/>
          <w:sz w:val="26"/>
          <w:szCs w:val="26"/>
        </w:rPr>
      </w:pPr>
    </w:p>
    <w:p w14:paraId="3CB475EA" w14:textId="209F3A76" w:rsidR="00A1739F" w:rsidRPr="00A1739F" w:rsidRDefault="00A1739F" w:rsidP="00A1739F">
      <w:pPr>
        <w:rPr>
          <w:color w:val="000000" w:themeColor="text1"/>
        </w:rPr>
      </w:pPr>
      <w:r w:rsidRPr="00A1739F">
        <w:rPr>
          <w:i/>
          <w:color w:val="000000" w:themeColor="text1"/>
        </w:rPr>
        <w:t xml:space="preserve">Download </w:t>
      </w:r>
      <w:r w:rsidR="00994E44">
        <w:rPr>
          <w:i/>
          <w:color w:val="000000" w:themeColor="text1"/>
        </w:rPr>
        <w:t>the student handout</w:t>
      </w:r>
      <w:r w:rsidR="00747183">
        <w:rPr>
          <w:i/>
          <w:color w:val="000000" w:themeColor="text1"/>
        </w:rPr>
        <w:t xml:space="preserve"> and teacher notes</w:t>
      </w:r>
      <w:r w:rsidRPr="00A1739F">
        <w:rPr>
          <w:i/>
          <w:color w:val="000000" w:themeColor="text1"/>
        </w:rPr>
        <w:t xml:space="preserve"> from the </w:t>
      </w:r>
      <w:r w:rsidRPr="00A1739F">
        <w:rPr>
          <w:color w:val="000000" w:themeColor="text1"/>
        </w:rPr>
        <w:t>Education in Chemistry</w:t>
      </w:r>
      <w:r w:rsidRPr="00A1739F">
        <w:rPr>
          <w:i/>
          <w:color w:val="000000" w:themeColor="text1"/>
        </w:rPr>
        <w:t xml:space="preserve"> website:</w:t>
      </w:r>
      <w:r w:rsidRPr="00A1739F">
        <w:rPr>
          <w:rStyle w:val="Emphasis"/>
          <w:i w:val="0"/>
          <w:iCs w:val="0"/>
          <w:color w:val="000000" w:themeColor="text1"/>
          <w:shd w:val="clear" w:color="auto" w:fill="F8F7F1"/>
        </w:rPr>
        <w:t xml:space="preserve"> </w:t>
      </w:r>
      <w:hyperlink r:id="rId17" w:history="1">
        <w:r w:rsidRPr="00A1739F">
          <w:rPr>
            <w:rStyle w:val="Hyperlink"/>
          </w:rPr>
          <w:t>rsc.li/EiC517-know-your-poison</w:t>
        </w:r>
      </w:hyperlink>
      <w:bookmarkStart w:id="0" w:name="_GoBack"/>
      <w:bookmarkEnd w:id="0"/>
    </w:p>
    <w:p w14:paraId="715CAE7D" w14:textId="5AF75C80" w:rsidR="007365B9" w:rsidRPr="007365B9" w:rsidRDefault="007365B9" w:rsidP="007365B9"/>
    <w:p w14:paraId="4D9D06B2" w14:textId="1E00AC93" w:rsidR="004D4EB0" w:rsidRPr="004D4EB0" w:rsidRDefault="004D4EB0" w:rsidP="007365B9">
      <w:pPr>
        <w:pStyle w:val="IntenseQuote"/>
      </w:pPr>
      <w:r>
        <w:t>Will you use this article and resources with your students? What would make it more useful to yo</w:t>
      </w:r>
      <w:r w:rsidR="007365B9">
        <w:t>u in the classroom? Let us know</w:t>
      </w:r>
      <w:r>
        <w:t xml:space="preserve">: </w:t>
      </w:r>
      <w:hyperlink r:id="rId18" w:history="1">
        <w:r w:rsidRPr="003A4EE2">
          <w:rPr>
            <w:rStyle w:val="Hyperlink"/>
          </w:rPr>
          <w:t>eic@rsc.org</w:t>
        </w:r>
      </w:hyperlink>
    </w:p>
    <w:sectPr w:rsidR="004D4EB0" w:rsidRPr="004D4EB0" w:rsidSect="00E331A7">
      <w:footerReference w:type="default" r:id="rId19"/>
      <w:headerReference w:type="first" r:id="rId20"/>
      <w:footerReference w:type="first" r:id="rId2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CB5BFB6" w:rsidR="00E40CCC" w:rsidRDefault="00E40CCC" w:rsidP="00E40CCC">
    <w:pPr>
      <w:pStyle w:val="Footer"/>
      <w:jc w:val="right"/>
    </w:pPr>
    <w:r>
      <w:t xml:space="preserve">Page </w:t>
    </w:r>
    <w:r>
      <w:fldChar w:fldCharType="begin"/>
    </w:r>
    <w:r>
      <w:instrText xml:space="preserve"> PAGE   \* MERGEFORMAT </w:instrText>
    </w:r>
    <w:r>
      <w:fldChar w:fldCharType="separate"/>
    </w:r>
    <w:r w:rsidR="00EF17AF">
      <w:rPr>
        <w:noProof/>
      </w:rPr>
      <w:t>2</w:t>
    </w:r>
    <w:r>
      <w:fldChar w:fldCharType="end"/>
    </w:r>
    <w:r>
      <w:t xml:space="preserve"> of </w:t>
    </w:r>
    <w:fldSimple w:instr=" NUMPAGES   \* MERGEFORMAT ">
      <w:r w:rsidR="00EF17AF">
        <w:rPr>
          <w:noProof/>
        </w:rPr>
        <w:t>2</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5D7D257B" w:rsidR="00E40CCC" w:rsidRDefault="00E40CCC" w:rsidP="00E40CCC">
    <w:pPr>
      <w:pStyle w:val="Footer"/>
      <w:jc w:val="right"/>
    </w:pPr>
    <w:r>
      <w:t xml:space="preserve">Page </w:t>
    </w:r>
    <w:r>
      <w:fldChar w:fldCharType="begin"/>
    </w:r>
    <w:r>
      <w:instrText xml:space="preserve"> PAGE   \* MERGEFORMAT </w:instrText>
    </w:r>
    <w:r>
      <w:fldChar w:fldCharType="separate"/>
    </w:r>
    <w:r w:rsidR="00EF17AF">
      <w:rPr>
        <w:noProof/>
      </w:rPr>
      <w:t>1</w:t>
    </w:r>
    <w:r>
      <w:fldChar w:fldCharType="end"/>
    </w:r>
    <w:r>
      <w:t xml:space="preserve"> of </w:t>
    </w:r>
    <w:r w:rsidR="00EF17AF">
      <w:fldChar w:fldCharType="begin"/>
    </w:r>
    <w:r w:rsidR="00EF17AF">
      <w:instrText xml:space="preserve"> NUMPAGES   \* MERGEFORMAT </w:instrText>
    </w:r>
    <w:r w:rsidR="00EF17AF">
      <w:fldChar w:fldCharType="separate"/>
    </w:r>
    <w:r w:rsidR="00EF17AF">
      <w:rPr>
        <w:noProof/>
      </w:rPr>
      <w:t>2</w:t>
    </w:r>
    <w:r w:rsidR="00EF17AF">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B48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48E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47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EAB9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42B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0E0C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FAC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1E0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A4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21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C7B8F"/>
    <w:multiLevelType w:val="hybridMultilevel"/>
    <w:tmpl w:val="D224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A63B2"/>
    <w:multiLevelType w:val="hybridMultilevel"/>
    <w:tmpl w:val="88E8B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87F15"/>
    <w:multiLevelType w:val="hybridMultilevel"/>
    <w:tmpl w:val="63BC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8"/>
  </w:num>
  <w:num w:numId="18">
    <w:abstractNumId w:val="14"/>
  </w:num>
  <w:num w:numId="19">
    <w:abstractNumId w:val="21"/>
  </w:num>
  <w:num w:numId="20">
    <w:abstractNumId w:val="13"/>
  </w:num>
  <w:num w:numId="21">
    <w:abstractNumId w:val="2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04BC8"/>
    <w:rsid w:val="000108F3"/>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74F1A"/>
    <w:rsid w:val="0028034B"/>
    <w:rsid w:val="00281035"/>
    <w:rsid w:val="00287576"/>
    <w:rsid w:val="00291C4D"/>
    <w:rsid w:val="00292178"/>
    <w:rsid w:val="002A3815"/>
    <w:rsid w:val="002B16D7"/>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E2C43"/>
    <w:rsid w:val="003F24EB"/>
    <w:rsid w:val="003F631F"/>
    <w:rsid w:val="003F79F1"/>
    <w:rsid w:val="00400C63"/>
    <w:rsid w:val="00413366"/>
    <w:rsid w:val="00424F9A"/>
    <w:rsid w:val="00427B37"/>
    <w:rsid w:val="00437020"/>
    <w:rsid w:val="004552CB"/>
    <w:rsid w:val="00460F13"/>
    <w:rsid w:val="004634FA"/>
    <w:rsid w:val="004723CA"/>
    <w:rsid w:val="00490BB0"/>
    <w:rsid w:val="00496E2E"/>
    <w:rsid w:val="004A2D91"/>
    <w:rsid w:val="004A32F0"/>
    <w:rsid w:val="004B204F"/>
    <w:rsid w:val="004B2F65"/>
    <w:rsid w:val="004C6CC9"/>
    <w:rsid w:val="004D4EB0"/>
    <w:rsid w:val="005065D4"/>
    <w:rsid w:val="00510295"/>
    <w:rsid w:val="00515A5A"/>
    <w:rsid w:val="00520BDA"/>
    <w:rsid w:val="00527B54"/>
    <w:rsid w:val="0054664B"/>
    <w:rsid w:val="005516AC"/>
    <w:rsid w:val="0056407C"/>
    <w:rsid w:val="00576D7F"/>
    <w:rsid w:val="00596ABE"/>
    <w:rsid w:val="005A7495"/>
    <w:rsid w:val="005C02D2"/>
    <w:rsid w:val="005C2B6B"/>
    <w:rsid w:val="005D668B"/>
    <w:rsid w:val="005F1C11"/>
    <w:rsid w:val="005F451D"/>
    <w:rsid w:val="0060654E"/>
    <w:rsid w:val="00613760"/>
    <w:rsid w:val="00635F98"/>
    <w:rsid w:val="006437AB"/>
    <w:rsid w:val="006525C2"/>
    <w:rsid w:val="006532A6"/>
    <w:rsid w:val="00654FDB"/>
    <w:rsid w:val="00662B91"/>
    <w:rsid w:val="0067206C"/>
    <w:rsid w:val="006758AB"/>
    <w:rsid w:val="006D3E26"/>
    <w:rsid w:val="006E121C"/>
    <w:rsid w:val="006F6F73"/>
    <w:rsid w:val="00707FDD"/>
    <w:rsid w:val="00714A35"/>
    <w:rsid w:val="00723F23"/>
    <w:rsid w:val="007358E3"/>
    <w:rsid w:val="007365B9"/>
    <w:rsid w:val="00747183"/>
    <w:rsid w:val="0075451A"/>
    <w:rsid w:val="00755C7E"/>
    <w:rsid w:val="007667DD"/>
    <w:rsid w:val="00784400"/>
    <w:rsid w:val="007C1813"/>
    <w:rsid w:val="00805114"/>
    <w:rsid w:val="0081005F"/>
    <w:rsid w:val="008342DB"/>
    <w:rsid w:val="00836F07"/>
    <w:rsid w:val="00853A62"/>
    <w:rsid w:val="00854D32"/>
    <w:rsid w:val="00857888"/>
    <w:rsid w:val="00870502"/>
    <w:rsid w:val="00872630"/>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94E44"/>
    <w:rsid w:val="009C5777"/>
    <w:rsid w:val="009D4E77"/>
    <w:rsid w:val="009F0DFC"/>
    <w:rsid w:val="009F3445"/>
    <w:rsid w:val="00A1739F"/>
    <w:rsid w:val="00A36CB9"/>
    <w:rsid w:val="00A42400"/>
    <w:rsid w:val="00A50EEB"/>
    <w:rsid w:val="00A52886"/>
    <w:rsid w:val="00A655C6"/>
    <w:rsid w:val="00A75F4C"/>
    <w:rsid w:val="00A9584B"/>
    <w:rsid w:val="00AB1738"/>
    <w:rsid w:val="00AB4D4A"/>
    <w:rsid w:val="00AD5433"/>
    <w:rsid w:val="00AE621F"/>
    <w:rsid w:val="00AF3542"/>
    <w:rsid w:val="00AF776F"/>
    <w:rsid w:val="00B20041"/>
    <w:rsid w:val="00B33FC6"/>
    <w:rsid w:val="00B57B2A"/>
    <w:rsid w:val="00BA512C"/>
    <w:rsid w:val="00BB1F22"/>
    <w:rsid w:val="00BF7A65"/>
    <w:rsid w:val="00C17DDC"/>
    <w:rsid w:val="00C3053B"/>
    <w:rsid w:val="00CD10BF"/>
    <w:rsid w:val="00D054C7"/>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4E90"/>
    <w:rsid w:val="00E86125"/>
    <w:rsid w:val="00EA0301"/>
    <w:rsid w:val="00EA0DFF"/>
    <w:rsid w:val="00EB1D7C"/>
    <w:rsid w:val="00EC0B8E"/>
    <w:rsid w:val="00ED1592"/>
    <w:rsid w:val="00ED609E"/>
    <w:rsid w:val="00EF1342"/>
    <w:rsid w:val="00EF17AF"/>
    <w:rsid w:val="00F05BEA"/>
    <w:rsid w:val="00F2224E"/>
    <w:rsid w:val="00F32AE0"/>
    <w:rsid w:val="00F33F60"/>
    <w:rsid w:val="00F47056"/>
    <w:rsid w:val="00F60031"/>
    <w:rsid w:val="00F65649"/>
    <w:rsid w:val="00F76CF5"/>
    <w:rsid w:val="00F91DF0"/>
    <w:rsid w:val="00FA248D"/>
    <w:rsid w:val="00FA6A03"/>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BF7A65"/>
    <w:pPr>
      <w:keepNext/>
      <w:spacing w:before="28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BF7A65"/>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paragraph" w:styleId="ListBullet">
    <w:name w:val="List Bullet"/>
    <w:basedOn w:val="Normal"/>
    <w:uiPriority w:val="99"/>
    <w:unhideWhenUsed/>
    <w:rsid w:val="004D4EB0"/>
    <w:pPr>
      <w:keepLines w:val="0"/>
      <w:tabs>
        <w:tab w:val="num" w:pos="360"/>
      </w:tabs>
      <w:spacing w:after="160" w:line="259" w:lineRule="auto"/>
      <w:ind w:left="360" w:hanging="360"/>
      <w:contextualSpacing/>
    </w:pPr>
    <w:rPr>
      <w:rFonts w:asciiTheme="minorHAnsi" w:hAnsiTheme="minorHAnsi" w:cstheme="minorBidi"/>
      <w:sz w:val="22"/>
      <w:szCs w:val="22"/>
    </w:rPr>
  </w:style>
  <w:style w:type="paragraph" w:styleId="IntenseQuote">
    <w:name w:val="Intense Quote"/>
    <w:basedOn w:val="Normal"/>
    <w:next w:val="Normal"/>
    <w:link w:val="IntenseQuoteChar"/>
    <w:uiPriority w:val="30"/>
    <w:rsid w:val="007365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5B9"/>
    <w:rPr>
      <w:rFonts w:ascii="Arial" w:hAnsi="Arial" w:cs="Arial"/>
      <w:i/>
      <w:iCs/>
      <w:color w:val="4F81BD" w:themeColor="accent1"/>
      <w:sz w:val="20"/>
      <w:szCs w:val="20"/>
    </w:rPr>
  </w:style>
  <w:style w:type="character" w:styleId="Strong">
    <w:name w:val="Strong"/>
    <w:basedOn w:val="DefaultParagraphFont"/>
    <w:uiPriority w:val="22"/>
    <w:qFormat/>
    <w:rsid w:val="00ED1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7287">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779449272">
      <w:bodyDiv w:val="1"/>
      <w:marLeft w:val="0"/>
      <w:marRight w:val="0"/>
      <w:marTop w:val="0"/>
      <w:marBottom w:val="0"/>
      <w:divBdr>
        <w:top w:val="none" w:sz="0" w:space="0" w:color="auto"/>
        <w:left w:val="none" w:sz="0" w:space="0" w:color="auto"/>
        <w:bottom w:val="none" w:sz="0" w:space="0" w:color="auto"/>
        <w:right w:val="none" w:sz="0" w:space="0" w:color="auto"/>
      </w:divBdr>
    </w:div>
    <w:div w:id="1795514171">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sc.org/learn-chemistry/collections/spectroscopy" TargetMode="External"/><Relationship Id="rId18" Type="http://schemas.openxmlformats.org/officeDocument/2006/relationships/hyperlink" Target="mailto:eic@rsc.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rsc.li/EiC517-know-your-poison" TargetMode="External"/><Relationship Id="rId17" Type="http://schemas.openxmlformats.org/officeDocument/2006/relationships/hyperlink" Target="http://rsc.li/EiC517-know-your-poison" TargetMode="External"/><Relationship Id="rId2" Type="http://schemas.openxmlformats.org/officeDocument/2006/relationships/customXml" Target="../customXml/item2.xml"/><Relationship Id="rId16" Type="http://schemas.openxmlformats.org/officeDocument/2006/relationships/hyperlink" Target="http://rsc.li/EiC517-know-your-poi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EiC517-know-your-poison" TargetMode="External"/><Relationship Id="rId5" Type="http://schemas.openxmlformats.org/officeDocument/2006/relationships/styles" Target="styles.xml"/><Relationship Id="rId15" Type="http://schemas.openxmlformats.org/officeDocument/2006/relationships/hyperlink" Target="http://rsc.li/EiC517-know-your-poison" TargetMode="External"/><Relationship Id="rId23" Type="http://schemas.openxmlformats.org/officeDocument/2006/relationships/theme" Target="theme/theme1.xml"/><Relationship Id="rId10" Type="http://schemas.openxmlformats.org/officeDocument/2006/relationships/hyperlink" Target="file:///\\RSC\Data\Shares\Education\Publishing%20and%20Schools%20Engagement\Education%20in%20Chemistry\Content\2017_05\The%20Loop\Downloads\rsc.li\EiC517-know-your-pois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sc.li/si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Investigating the properties of poly(caprolactone)</vt:lpstr>
    </vt:vector>
  </TitlesOfParts>
  <Company>Royal Society of Chemistry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teaching ideas</dc:title>
  <dc:subject>Demonstration silver acetylide as a contact explosive</dc:subject>
  <dc:creator>Royal Society of Chemistry</dc:creator>
  <dc:description>To accompany the article 'Know your poison' from Education in Chemistry, September 2017.</dc:description>
  <cp:lastModifiedBy>David Sait</cp:lastModifiedBy>
  <cp:revision>41</cp:revision>
  <dcterms:created xsi:type="dcterms:W3CDTF">2016-12-15T11:02:00Z</dcterms:created>
  <dcterms:modified xsi:type="dcterms:W3CDTF">2017-08-16T14:30:00Z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