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408C7" w14:textId="3C58E00A" w:rsidR="00D71A1A" w:rsidRPr="007C1813" w:rsidRDefault="00A8326F" w:rsidP="007C1813">
      <w:pPr>
        <w:pStyle w:val="Leadparagraph"/>
      </w:pPr>
      <w:r>
        <w:rPr>
          <w:rFonts w:eastAsiaTheme="majorEastAsia" w:cstheme="majorBidi"/>
          <w:bCs/>
          <w:color w:val="2C4D67"/>
          <w:sz w:val="30"/>
          <w:szCs w:val="30"/>
        </w:rPr>
        <w:t>Containing the dichromate volcano</w:t>
      </w:r>
      <w:r>
        <w:rPr>
          <w:rStyle w:val="LeadparagraphChar"/>
          <w:rFonts w:eastAsiaTheme="majorEastAsia" w:cstheme="majorBidi"/>
          <w:b/>
          <w:bCs/>
          <w:color w:val="2C4D67"/>
          <w:sz w:val="30"/>
          <w:szCs w:val="30"/>
        </w:rPr>
        <w:t xml:space="preserve"> </w:t>
      </w:r>
      <w:r w:rsidR="003D63A2">
        <w:rPr>
          <w:rStyle w:val="LeadparagraphChar"/>
          <w:rFonts w:eastAsiaTheme="majorEastAsia" w:cstheme="majorBidi"/>
          <w:b/>
          <w:bCs/>
          <w:color w:val="2C4D67"/>
          <w:sz w:val="30"/>
          <w:szCs w:val="30"/>
        </w:rPr>
        <w:br/>
      </w:r>
      <w:r w:rsidR="009875B2" w:rsidRPr="009875B2">
        <w:rPr>
          <w:rStyle w:val="LeadparagraphChar"/>
          <w:b/>
          <w:i/>
        </w:rPr>
        <w:t>Education in Chemistry</w:t>
      </w:r>
      <w:r w:rsidR="009875B2">
        <w:rPr>
          <w:rStyle w:val="LeadparagraphChar"/>
          <w:b/>
        </w:rPr>
        <w:br/>
      </w:r>
      <w:r w:rsidR="0098737E">
        <w:rPr>
          <w:rStyle w:val="LeadparagraphChar"/>
        </w:rPr>
        <w:t>January 2018</w:t>
      </w:r>
      <w:r w:rsidR="009875B2">
        <w:rPr>
          <w:rStyle w:val="LeadparagraphChar"/>
          <w:b/>
        </w:rPr>
        <w:br/>
      </w:r>
      <w:hyperlink r:id="rId10" w:history="1">
        <w:r w:rsidR="0098737E" w:rsidRPr="0098737E">
          <w:rPr>
            <w:rStyle w:val="Hyperlink"/>
            <w:shd w:val="clear" w:color="auto" w:fill="FFFFFF"/>
          </w:rPr>
          <w:t>rsc.li/EiC118dc</w:t>
        </w:r>
      </w:hyperlink>
    </w:p>
    <w:p w14:paraId="054408C9" w14:textId="3E4B64A1" w:rsidR="0075451A" w:rsidRPr="008B3961" w:rsidRDefault="00F60CEF" w:rsidP="00B9617C">
      <w:pPr>
        <w:pStyle w:val="Heading2"/>
      </w:pPr>
      <w:r>
        <w:t>Technician</w:t>
      </w:r>
      <w:r w:rsidR="009875B2">
        <w:t xml:space="preserve"> notes</w:t>
      </w:r>
    </w:p>
    <w:p w14:paraId="054408CB" w14:textId="5EA1F462" w:rsidR="0075451A" w:rsidRPr="005065D4" w:rsidRDefault="009875B2" w:rsidP="005065D4">
      <w:pPr>
        <w:pStyle w:val="Heading3"/>
      </w:pPr>
      <w:r>
        <w:t>Kit</w:t>
      </w:r>
    </w:p>
    <w:p w14:paraId="4B447FAA" w14:textId="207D3491" w:rsidR="002543D9" w:rsidRPr="002543D9" w:rsidRDefault="002543D9" w:rsidP="002543D9">
      <w:pPr>
        <w:keepLines w:val="0"/>
        <w:numPr>
          <w:ilvl w:val="0"/>
          <w:numId w:val="8"/>
        </w:numPr>
        <w:spacing w:after="0"/>
        <w:textAlignment w:val="baseline"/>
        <w:rPr>
          <w:rFonts w:eastAsia="Times New Roman"/>
          <w:color w:val="000000"/>
          <w:lang w:eastAsia="en-GB"/>
        </w:rPr>
      </w:pPr>
      <w:r w:rsidRPr="002543D9">
        <w:rPr>
          <w:rFonts w:eastAsia="Times New Roman"/>
          <w:color w:val="000000"/>
          <w:lang w:eastAsia="en-GB"/>
        </w:rPr>
        <w:t>Ammonium dichromate(VI), 5 g, (toxic, causes severe skin burns and eye damage, may cause breathing difficulties by inhalation, may cause genetic defects, may cause cancer, damage fertility or the unborn child</w:t>
      </w:r>
      <w:r w:rsidR="00B020FC">
        <w:rPr>
          <w:rFonts w:eastAsia="Times New Roman"/>
          <w:color w:val="000000"/>
          <w:lang w:eastAsia="en-GB"/>
        </w:rPr>
        <w:t xml:space="preserve">. See </w:t>
      </w:r>
      <w:hyperlink r:id="rId11" w:history="1">
        <w:r w:rsidR="00B020FC" w:rsidRPr="00B020FC">
          <w:rPr>
            <w:rStyle w:val="Hyperlink"/>
            <w:rFonts w:eastAsia="Times New Roman"/>
            <w:lang w:eastAsia="en-GB"/>
          </w:rPr>
          <w:t xml:space="preserve">CLEAPSS </w:t>
        </w:r>
        <w:proofErr w:type="spellStart"/>
        <w:r w:rsidR="00B020FC" w:rsidRPr="00B020FC">
          <w:rPr>
            <w:rStyle w:val="Hyperlink"/>
            <w:rFonts w:eastAsia="Times New Roman"/>
            <w:lang w:eastAsia="en-GB"/>
          </w:rPr>
          <w:t>Hazcard</w:t>
        </w:r>
        <w:proofErr w:type="spellEnd"/>
        <w:r w:rsidR="00B020FC" w:rsidRPr="00B020FC">
          <w:rPr>
            <w:rStyle w:val="Hyperlink"/>
            <w:rFonts w:eastAsia="Times New Roman"/>
            <w:lang w:eastAsia="en-GB"/>
          </w:rPr>
          <w:t xml:space="preserve"> 7</w:t>
        </w:r>
      </w:hyperlink>
      <w:bookmarkStart w:id="0" w:name="_GoBack"/>
      <w:bookmarkEnd w:id="0"/>
      <w:r w:rsidRPr="002543D9">
        <w:rPr>
          <w:rFonts w:eastAsia="Times New Roman"/>
          <w:color w:val="000000"/>
          <w:lang w:eastAsia="en-GB"/>
        </w:rPr>
        <w:t xml:space="preserve">) </w:t>
      </w:r>
    </w:p>
    <w:p w14:paraId="1DE26D88" w14:textId="77777777" w:rsidR="002543D9" w:rsidRPr="002543D9" w:rsidRDefault="002543D9" w:rsidP="002543D9">
      <w:pPr>
        <w:keepLines w:val="0"/>
        <w:numPr>
          <w:ilvl w:val="0"/>
          <w:numId w:val="8"/>
        </w:numPr>
        <w:spacing w:after="0"/>
        <w:textAlignment w:val="baseline"/>
        <w:rPr>
          <w:rFonts w:eastAsia="Times New Roman"/>
          <w:color w:val="000000"/>
          <w:lang w:eastAsia="en-GB"/>
        </w:rPr>
      </w:pPr>
      <w:r w:rsidRPr="002543D9">
        <w:rPr>
          <w:rFonts w:eastAsia="Times New Roman"/>
          <w:color w:val="000000"/>
          <w:lang w:eastAsia="en-GB"/>
        </w:rPr>
        <w:t>Conical or round-bottomed flask ≥ 1 dm</w:t>
      </w:r>
      <w:r w:rsidRPr="002543D9">
        <w:rPr>
          <w:rFonts w:eastAsia="Times New Roman"/>
          <w:color w:val="000000"/>
          <w:vertAlign w:val="superscript"/>
          <w:lang w:eastAsia="en-GB"/>
        </w:rPr>
        <w:t>3</w:t>
      </w:r>
    </w:p>
    <w:p w14:paraId="1290CCE8" w14:textId="77777777" w:rsidR="002543D9" w:rsidRPr="002543D9" w:rsidRDefault="002543D9" w:rsidP="002543D9">
      <w:pPr>
        <w:keepLines w:val="0"/>
        <w:numPr>
          <w:ilvl w:val="0"/>
          <w:numId w:val="8"/>
        </w:numPr>
        <w:spacing w:after="0"/>
        <w:textAlignment w:val="baseline"/>
        <w:rPr>
          <w:rFonts w:eastAsia="Times New Roman"/>
          <w:color w:val="000000"/>
          <w:lang w:eastAsia="en-GB"/>
        </w:rPr>
      </w:pPr>
      <w:r w:rsidRPr="002543D9">
        <w:rPr>
          <w:rFonts w:eastAsia="Times New Roman"/>
          <w:color w:val="000000"/>
          <w:lang w:eastAsia="en-GB"/>
        </w:rPr>
        <w:t>Glass tube or similar for delivering the powder into a small pile</w:t>
      </w:r>
    </w:p>
    <w:p w14:paraId="5811933B" w14:textId="77777777" w:rsidR="002543D9" w:rsidRPr="002543D9" w:rsidRDefault="002543D9" w:rsidP="002543D9">
      <w:pPr>
        <w:keepLines w:val="0"/>
        <w:numPr>
          <w:ilvl w:val="0"/>
          <w:numId w:val="8"/>
        </w:numPr>
        <w:spacing w:after="0"/>
        <w:textAlignment w:val="baseline"/>
        <w:rPr>
          <w:rFonts w:eastAsia="Times New Roman"/>
          <w:color w:val="000000"/>
          <w:lang w:eastAsia="en-GB"/>
        </w:rPr>
      </w:pPr>
      <w:r w:rsidRPr="002543D9">
        <w:rPr>
          <w:rFonts w:eastAsia="Times New Roman"/>
          <w:color w:val="000000"/>
          <w:lang w:eastAsia="en-GB"/>
        </w:rPr>
        <w:t>Tripod and gauze or clamp stand</w:t>
      </w:r>
    </w:p>
    <w:p w14:paraId="354A2C0E" w14:textId="77777777" w:rsidR="002543D9" w:rsidRPr="002543D9" w:rsidRDefault="002543D9" w:rsidP="002543D9">
      <w:pPr>
        <w:keepLines w:val="0"/>
        <w:numPr>
          <w:ilvl w:val="0"/>
          <w:numId w:val="8"/>
        </w:numPr>
        <w:spacing w:after="0"/>
        <w:textAlignment w:val="baseline"/>
        <w:rPr>
          <w:rFonts w:eastAsia="Times New Roman"/>
          <w:color w:val="000000"/>
          <w:lang w:eastAsia="en-GB"/>
        </w:rPr>
      </w:pPr>
      <w:r w:rsidRPr="002543D9">
        <w:rPr>
          <w:rFonts w:eastAsia="Times New Roman"/>
          <w:color w:val="000000"/>
          <w:lang w:eastAsia="en-GB"/>
        </w:rPr>
        <w:t>Bunsen burner</w:t>
      </w:r>
    </w:p>
    <w:p w14:paraId="7988E4F5" w14:textId="77777777" w:rsidR="002543D9" w:rsidRPr="002543D9" w:rsidRDefault="002543D9" w:rsidP="002543D9">
      <w:pPr>
        <w:keepLines w:val="0"/>
        <w:numPr>
          <w:ilvl w:val="0"/>
          <w:numId w:val="8"/>
        </w:numPr>
        <w:spacing w:after="200"/>
        <w:textAlignment w:val="baseline"/>
        <w:rPr>
          <w:rFonts w:eastAsia="Times New Roman"/>
          <w:color w:val="000000"/>
          <w:lang w:eastAsia="en-GB"/>
        </w:rPr>
      </w:pPr>
      <w:r w:rsidRPr="002543D9">
        <w:rPr>
          <w:rFonts w:eastAsia="Times New Roman"/>
          <w:color w:val="000000"/>
          <w:lang w:eastAsia="en-GB"/>
        </w:rPr>
        <w:t>Mineral wool</w:t>
      </w:r>
    </w:p>
    <w:p w14:paraId="1621152C" w14:textId="77777777" w:rsidR="002543D9" w:rsidRPr="002543D9" w:rsidRDefault="002543D9" w:rsidP="002543D9">
      <w:pPr>
        <w:spacing w:before="280" w:after="200"/>
        <w:outlineLvl w:val="2"/>
        <w:rPr>
          <w:rFonts w:eastAsiaTheme="majorEastAsia"/>
          <w:b/>
          <w:bCs/>
          <w:color w:val="2C4D67"/>
          <w:sz w:val="22"/>
          <w:szCs w:val="22"/>
        </w:rPr>
      </w:pPr>
      <w:r w:rsidRPr="002543D9">
        <w:rPr>
          <w:rFonts w:eastAsiaTheme="majorEastAsia"/>
          <w:b/>
          <w:bCs/>
          <w:color w:val="2C4D67"/>
          <w:sz w:val="22"/>
          <w:szCs w:val="22"/>
        </w:rPr>
        <w:t>Preparation</w:t>
      </w:r>
    </w:p>
    <w:p w14:paraId="6A99B62D" w14:textId="5E724525" w:rsidR="002543D9" w:rsidRPr="002543D9" w:rsidRDefault="002543D9" w:rsidP="002543D9">
      <w:pPr>
        <w:spacing w:after="200"/>
        <w:rPr>
          <w:rFonts w:ascii="Times New Roman" w:eastAsia="Times New Roman" w:hAnsi="Times New Roman" w:cs="Times New Roman"/>
          <w:sz w:val="24"/>
          <w:szCs w:val="24"/>
          <w:lang w:eastAsia="en-GB"/>
        </w:rPr>
      </w:pPr>
      <w:r w:rsidRPr="002543D9">
        <w:rPr>
          <w:rFonts w:eastAsia="Times New Roman"/>
          <w:color w:val="000000"/>
          <w:lang w:eastAsia="en-GB"/>
        </w:rPr>
        <w:t>Wear gloves and splash-proof goggles. Working in a fume cupboard which is not switched on and</w:t>
      </w:r>
      <w:r w:rsidRPr="002543D9">
        <w:rPr>
          <w:rFonts w:ascii="Calibri" w:eastAsia="Times New Roman" w:hAnsi="Calibri" w:cs="Calibri"/>
          <w:color w:val="000000"/>
          <w:sz w:val="24"/>
          <w:szCs w:val="24"/>
          <w:lang w:eastAsia="en-GB"/>
        </w:rPr>
        <w:t xml:space="preserve"> </w:t>
      </w:r>
      <w:r w:rsidRPr="002543D9">
        <w:rPr>
          <w:rFonts w:eastAsia="Times New Roman"/>
          <w:color w:val="000000"/>
          <w:lang w:eastAsia="en-GB"/>
        </w:rPr>
        <w:t>with the sash partially lowered, weigh out no more than 5 g of the ammonium dichromate(VI) and use a glass tube or paper cone to transfer the solid into a small conical pile in the centre of the base of a 1 dm</w:t>
      </w:r>
      <w:r w:rsidRPr="001073A6">
        <w:rPr>
          <w:rFonts w:eastAsia="Times New Roman"/>
          <w:color w:val="000000"/>
          <w:vertAlign w:val="superscript"/>
          <w:lang w:eastAsia="en-GB"/>
        </w:rPr>
        <w:t>3</w:t>
      </w:r>
      <w:r w:rsidRPr="002543D9">
        <w:rPr>
          <w:rFonts w:eastAsia="Times New Roman"/>
          <w:color w:val="000000"/>
          <w:lang w:eastAsia="en-GB"/>
        </w:rPr>
        <w:t xml:space="preserve"> conical or round-bottomed flask. Place the flask above a Bunsen using a clamp, or a tripod and gauze, then use a piece of mineral wool to loosely plug the neck of the flask to prevent powder from being ejected during the reaction.</w:t>
      </w:r>
      <w:r w:rsidR="001073A6">
        <w:rPr>
          <w:rFonts w:eastAsia="Times New Roman"/>
          <w:color w:val="000000"/>
          <w:lang w:eastAsia="en-GB"/>
        </w:rPr>
        <w:t xml:space="preserve"> </w:t>
      </w:r>
      <w:r w:rsidRPr="002543D9">
        <w:rPr>
          <w:rFonts w:eastAsia="Times New Roman"/>
          <w:color w:val="000000"/>
          <w:lang w:eastAsia="en-GB"/>
        </w:rPr>
        <w:t xml:space="preserve"> With the mineral wool in place the demonstration can be performed in the open lab.</w:t>
      </w:r>
      <w:r w:rsidR="001073A6">
        <w:rPr>
          <w:rFonts w:eastAsia="Times New Roman"/>
          <w:color w:val="000000"/>
          <w:lang w:eastAsia="en-GB"/>
        </w:rPr>
        <w:t xml:space="preserve"> </w:t>
      </w:r>
      <w:r w:rsidR="001073A6">
        <w:t>A metal spatula can be rested on top of the neck of the flask to help prevent the plug being blown out by the gases from the reaction.</w:t>
      </w:r>
    </w:p>
    <w:p w14:paraId="45DCDB1E" w14:textId="43B3FA64" w:rsidR="002543D9" w:rsidRPr="002543D9" w:rsidRDefault="002543D9" w:rsidP="002543D9">
      <w:pPr>
        <w:spacing w:after="200"/>
        <w:rPr>
          <w:rFonts w:eastAsiaTheme="majorEastAsia"/>
          <w:b/>
          <w:bCs/>
          <w:color w:val="2C4D67"/>
          <w:sz w:val="22"/>
          <w:szCs w:val="22"/>
        </w:rPr>
      </w:pPr>
      <w:r w:rsidRPr="002543D9">
        <w:rPr>
          <w:rFonts w:eastAsiaTheme="majorEastAsia"/>
          <w:b/>
          <w:bCs/>
          <w:color w:val="2C4D67"/>
          <w:sz w:val="22"/>
          <w:szCs w:val="22"/>
        </w:rPr>
        <w:t>In front of the class</w:t>
      </w:r>
    </w:p>
    <w:p w14:paraId="44CEE052" w14:textId="77777777" w:rsidR="002543D9" w:rsidRPr="002543D9" w:rsidRDefault="002543D9" w:rsidP="002543D9">
      <w:pPr>
        <w:spacing w:after="200"/>
        <w:rPr>
          <w:rFonts w:eastAsia="Times New Roman"/>
          <w:color w:val="000000"/>
          <w:lang w:eastAsia="en-GB"/>
        </w:rPr>
      </w:pPr>
      <w:r w:rsidRPr="002543D9">
        <w:rPr>
          <w:rFonts w:eastAsia="Times New Roman"/>
          <w:color w:val="000000"/>
          <w:lang w:eastAsia="en-GB"/>
        </w:rPr>
        <w:t>The audience should wear eye protection. Hold the tip of the Bunsen flame under the centre of the pile of powder. Do not use other ignition methods as these can result in powder being ejected before the mineral wool plug can be re-inserted. After a few seconds the powder will begin to thermally decompose, sparks will be ejected from the centre and the powder will turn green and expand, forming an impressive volcano-like effect.</w:t>
      </w:r>
    </w:p>
    <w:p w14:paraId="4F807C22" w14:textId="77777777" w:rsidR="002543D9" w:rsidRPr="002543D9" w:rsidRDefault="002543D9" w:rsidP="002543D9">
      <w:pPr>
        <w:spacing w:before="280" w:after="200"/>
        <w:outlineLvl w:val="2"/>
        <w:rPr>
          <w:rFonts w:eastAsiaTheme="majorEastAsia"/>
          <w:b/>
          <w:bCs/>
          <w:color w:val="2C4D67"/>
          <w:sz w:val="22"/>
          <w:szCs w:val="22"/>
        </w:rPr>
      </w:pPr>
      <w:r w:rsidRPr="002543D9">
        <w:rPr>
          <w:rFonts w:eastAsiaTheme="majorEastAsia"/>
          <w:b/>
          <w:bCs/>
          <w:color w:val="2C4D67"/>
          <w:sz w:val="22"/>
          <w:szCs w:val="22"/>
        </w:rPr>
        <w:t>Health and safety</w:t>
      </w:r>
    </w:p>
    <w:p w14:paraId="0F271619" w14:textId="77777777" w:rsidR="002543D9" w:rsidRPr="002543D9" w:rsidRDefault="002543D9" w:rsidP="002543D9">
      <w:pPr>
        <w:pStyle w:val="ListParagraph"/>
        <w:numPr>
          <w:ilvl w:val="0"/>
          <w:numId w:val="8"/>
        </w:numPr>
        <w:spacing w:after="200"/>
        <w:rPr>
          <w:rFonts w:eastAsia="Times New Roman"/>
          <w:color w:val="000000"/>
          <w:lang w:eastAsia="en-GB"/>
        </w:rPr>
      </w:pPr>
      <w:r w:rsidRPr="002543D9">
        <w:rPr>
          <w:rFonts w:eastAsia="Times New Roman"/>
          <w:color w:val="000000"/>
          <w:lang w:eastAsia="en-GB"/>
        </w:rPr>
        <w:t>Wear splash-proof goggles.</w:t>
      </w:r>
    </w:p>
    <w:p w14:paraId="69876637" w14:textId="77777777" w:rsidR="002543D9" w:rsidRPr="002543D9" w:rsidRDefault="002543D9" w:rsidP="002543D9">
      <w:pPr>
        <w:pStyle w:val="ListParagraph"/>
        <w:numPr>
          <w:ilvl w:val="0"/>
          <w:numId w:val="8"/>
        </w:numPr>
        <w:spacing w:after="200"/>
        <w:rPr>
          <w:rFonts w:eastAsia="Times New Roman"/>
          <w:color w:val="000000"/>
          <w:lang w:eastAsia="en-GB"/>
        </w:rPr>
      </w:pPr>
      <w:r w:rsidRPr="002543D9">
        <w:rPr>
          <w:rFonts w:eastAsia="Times New Roman"/>
          <w:color w:val="000000"/>
          <w:lang w:eastAsia="en-GB"/>
        </w:rPr>
        <w:t>Protect the face.</w:t>
      </w:r>
    </w:p>
    <w:p w14:paraId="0A694179" w14:textId="77777777" w:rsidR="002543D9" w:rsidRPr="002543D9" w:rsidRDefault="002543D9" w:rsidP="002543D9">
      <w:pPr>
        <w:pStyle w:val="ListParagraph"/>
        <w:numPr>
          <w:ilvl w:val="0"/>
          <w:numId w:val="8"/>
        </w:numPr>
        <w:spacing w:after="200"/>
        <w:rPr>
          <w:rFonts w:eastAsia="Times New Roman"/>
          <w:color w:val="000000"/>
          <w:lang w:eastAsia="en-GB"/>
        </w:rPr>
      </w:pPr>
      <w:r w:rsidRPr="002543D9">
        <w:rPr>
          <w:rFonts w:eastAsia="Times New Roman"/>
          <w:color w:val="000000"/>
          <w:lang w:eastAsia="en-GB"/>
        </w:rPr>
        <w:t>Wear gloves to transfer or dispense the solid.</w:t>
      </w:r>
    </w:p>
    <w:p w14:paraId="03016B3E" w14:textId="77777777" w:rsidR="002543D9" w:rsidRPr="002543D9" w:rsidRDefault="002543D9" w:rsidP="002543D9">
      <w:pPr>
        <w:pStyle w:val="ListParagraph"/>
        <w:numPr>
          <w:ilvl w:val="0"/>
          <w:numId w:val="8"/>
        </w:numPr>
        <w:spacing w:after="200"/>
        <w:rPr>
          <w:rFonts w:eastAsia="Times New Roman"/>
          <w:color w:val="000000"/>
          <w:lang w:eastAsia="en-GB"/>
        </w:rPr>
      </w:pPr>
      <w:r w:rsidRPr="002543D9">
        <w:rPr>
          <w:rFonts w:eastAsia="Times New Roman"/>
          <w:color w:val="000000"/>
          <w:lang w:eastAsia="en-GB"/>
        </w:rPr>
        <w:t>Use a mineral wool plug to prevent loss of solid/dust particles from the vessel.</w:t>
      </w:r>
    </w:p>
    <w:p w14:paraId="687BEA69" w14:textId="77777777" w:rsidR="002543D9" w:rsidRPr="002543D9" w:rsidRDefault="002543D9" w:rsidP="002543D9">
      <w:pPr>
        <w:pStyle w:val="ListParagraph"/>
        <w:numPr>
          <w:ilvl w:val="0"/>
          <w:numId w:val="8"/>
        </w:numPr>
        <w:spacing w:after="200"/>
        <w:rPr>
          <w:rFonts w:eastAsia="Times New Roman"/>
          <w:color w:val="000000"/>
          <w:lang w:eastAsia="en-GB"/>
        </w:rPr>
      </w:pPr>
      <w:r w:rsidRPr="002543D9">
        <w:rPr>
          <w:rFonts w:eastAsia="Times New Roman"/>
          <w:color w:val="000000"/>
          <w:lang w:eastAsia="en-GB"/>
        </w:rPr>
        <w:t>Avoid raising dust and wipe up spills immediately with a damp cloth / paper towel.</w:t>
      </w:r>
    </w:p>
    <w:p w14:paraId="74DCA386" w14:textId="7674A643" w:rsidR="002543D9" w:rsidRPr="002543D9" w:rsidRDefault="002543D9" w:rsidP="002543D9">
      <w:pPr>
        <w:pStyle w:val="ListParagraph"/>
        <w:numPr>
          <w:ilvl w:val="0"/>
          <w:numId w:val="8"/>
        </w:numPr>
        <w:spacing w:after="200"/>
        <w:rPr>
          <w:rFonts w:eastAsia="Times New Roman"/>
          <w:color w:val="000000"/>
          <w:lang w:eastAsia="en-GB"/>
        </w:rPr>
      </w:pPr>
      <w:r w:rsidRPr="002543D9">
        <w:rPr>
          <w:rFonts w:eastAsia="Times New Roman"/>
          <w:color w:val="000000"/>
          <w:lang w:eastAsia="en-GB"/>
        </w:rPr>
        <w:t>Do not mix ammonium dichromate(VI) with</w:t>
      </w:r>
      <w:r>
        <w:rPr>
          <w:rFonts w:eastAsia="Times New Roman"/>
          <w:color w:val="000000"/>
          <w:lang w:eastAsia="en-GB"/>
        </w:rPr>
        <w:t xml:space="preserve"> </w:t>
      </w:r>
      <w:r w:rsidRPr="002543D9">
        <w:rPr>
          <w:rFonts w:eastAsia="Times New Roman"/>
          <w:color w:val="000000"/>
          <w:lang w:eastAsia="en-GB"/>
        </w:rPr>
        <w:t>other substances.</w:t>
      </w:r>
      <w:r w:rsidRPr="002543D9">
        <w:rPr>
          <w:rFonts w:eastAsia="Times New Roman"/>
          <w:color w:val="000000"/>
          <w:lang w:eastAsia="en-GB"/>
        </w:rPr>
        <w:tab/>
      </w:r>
    </w:p>
    <w:p w14:paraId="4F7A334E" w14:textId="77777777" w:rsidR="002543D9" w:rsidRPr="002543D9" w:rsidRDefault="002543D9" w:rsidP="002543D9">
      <w:pPr>
        <w:spacing w:before="280" w:after="200"/>
        <w:outlineLvl w:val="2"/>
        <w:rPr>
          <w:rFonts w:eastAsiaTheme="majorEastAsia"/>
          <w:b/>
          <w:bCs/>
          <w:color w:val="2C4D67"/>
          <w:sz w:val="22"/>
          <w:szCs w:val="22"/>
        </w:rPr>
      </w:pPr>
      <w:r w:rsidRPr="002543D9">
        <w:rPr>
          <w:rFonts w:eastAsiaTheme="majorEastAsia"/>
          <w:b/>
          <w:bCs/>
          <w:color w:val="2C4D67"/>
          <w:sz w:val="22"/>
          <w:szCs w:val="22"/>
        </w:rPr>
        <w:t>Disposal</w:t>
      </w:r>
    </w:p>
    <w:p w14:paraId="1E0F1945" w14:textId="77777777" w:rsidR="002543D9" w:rsidRPr="002543D9" w:rsidRDefault="002543D9" w:rsidP="002543D9">
      <w:pPr>
        <w:spacing w:after="200"/>
        <w:rPr>
          <w:rFonts w:eastAsia="Times New Roman"/>
          <w:color w:val="000000"/>
          <w:lang w:eastAsia="en-GB"/>
        </w:rPr>
      </w:pPr>
      <w:r w:rsidRPr="002543D9">
        <w:rPr>
          <w:rFonts w:eastAsia="Times New Roman"/>
          <w:color w:val="000000"/>
          <w:lang w:eastAsia="en-GB"/>
        </w:rPr>
        <w:t>Allow the apparatus to cool then, wearing gloves (in case there is unreacted ammonium dichromate(VI) present), use tongs or forceps to remove the mineral wool plug and place it with the solid residue straight into a suitable plastic bag, which can be sealed and placed in the normal solid waste.</w:t>
      </w:r>
    </w:p>
    <w:p w14:paraId="054408ED" w14:textId="67DB6AD2" w:rsidR="001D1E2A" w:rsidRPr="00281035" w:rsidRDefault="009875B2" w:rsidP="000D3D40">
      <w:r w:rsidRPr="00B57B2A">
        <w:rPr>
          <w:i/>
        </w:rPr>
        <w:t xml:space="preserve">For more spectacular demonstrations, take a look at the Exhibition Chemistry archive on the </w:t>
      </w:r>
      <w:r w:rsidRPr="00B57B2A">
        <w:t>Education in Chemistry</w:t>
      </w:r>
      <w:r w:rsidRPr="00B57B2A">
        <w:rPr>
          <w:i/>
        </w:rPr>
        <w:t xml:space="preserve"> website: </w:t>
      </w:r>
      <w:hyperlink r:id="rId12" w:history="1">
        <w:r w:rsidRPr="00B57B2A">
          <w:rPr>
            <w:rStyle w:val="Hyperlink"/>
            <w:i/>
          </w:rPr>
          <w:t>http</w:t>
        </w:r>
        <w:r w:rsidR="00EA0DFF" w:rsidRPr="00B57B2A">
          <w:rPr>
            <w:rStyle w:val="Hyperlink"/>
            <w:i/>
          </w:rPr>
          <w:t>s</w:t>
        </w:r>
        <w:r w:rsidRPr="00B57B2A">
          <w:rPr>
            <w:rStyle w:val="Hyperlink"/>
            <w:i/>
          </w:rPr>
          <w:t>://</w:t>
        </w:r>
        <w:r w:rsidR="00EA0DFF" w:rsidRPr="00B57B2A">
          <w:rPr>
            <w:rStyle w:val="Hyperlink"/>
            <w:i/>
          </w:rPr>
          <w:t>eic.rsc.org/</w:t>
        </w:r>
        <w:r w:rsidRPr="00B57B2A">
          <w:rPr>
            <w:rStyle w:val="Hyperlink"/>
            <w:i/>
          </w:rPr>
          <w:t>exhibition-chemistry</w:t>
        </w:r>
      </w:hyperlink>
    </w:p>
    <w:sectPr w:rsidR="001D1E2A" w:rsidRPr="00281035" w:rsidSect="0004193F">
      <w:footerReference w:type="default" r:id="rId13"/>
      <w:headerReference w:type="first" r:id="rId14"/>
      <w:footerReference w:type="first" r:id="rId15"/>
      <w:type w:val="continuous"/>
      <w:pgSz w:w="11906" w:h="16838"/>
      <w:pgMar w:top="1440" w:right="1080" w:bottom="1134"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3813B" w14:textId="77777777" w:rsidR="00080A4A" w:rsidRDefault="00080A4A" w:rsidP="000D3D40">
      <w:r>
        <w:separator/>
      </w:r>
    </w:p>
  </w:endnote>
  <w:endnote w:type="continuationSeparator" w:id="0">
    <w:p w14:paraId="44C92A97" w14:textId="77777777" w:rsidR="00080A4A" w:rsidRDefault="00080A4A"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7777777"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55994C9" w:rsidR="00E15396" w:rsidRDefault="00520BDA" w:rsidP="006052EC">
    <w:pPr>
      <w:pStyle w:val="Footer"/>
      <w:tabs>
        <w:tab w:val="clear" w:pos="4513"/>
        <w:tab w:val="clear" w:pos="9026"/>
        <w:tab w:val="left" w:pos="6663"/>
      </w:tabs>
    </w:pPr>
    <w:r>
      <w:sym w:font="Symbol" w:char="F0E3"/>
    </w:r>
    <w:r w:rsidR="006052EC">
      <w:t xml:space="preserve"> Royal Society of Chemistry</w:t>
    </w:r>
    <w:r w:rsidR="006052EC">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33ADF" w14:textId="77777777" w:rsidR="00080A4A" w:rsidRDefault="00080A4A" w:rsidP="000D3D40">
      <w:r>
        <w:separator/>
      </w:r>
    </w:p>
  </w:footnote>
  <w:footnote w:type="continuationSeparator" w:id="0">
    <w:p w14:paraId="1FF25148" w14:textId="77777777" w:rsidR="00080A4A" w:rsidRDefault="00080A4A"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6" name="Picture 6"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3CC51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EC1091"/>
    <w:multiLevelType w:val="hybridMultilevel"/>
    <w:tmpl w:val="5ABC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26A5E"/>
    <w:multiLevelType w:val="hybridMultilevel"/>
    <w:tmpl w:val="D28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531A38"/>
    <w:multiLevelType w:val="multilevel"/>
    <w:tmpl w:val="03D2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DA0596"/>
    <w:multiLevelType w:val="hybridMultilevel"/>
    <w:tmpl w:val="E15C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0778"/>
    <w:rsid w:val="00012664"/>
    <w:rsid w:val="000355C3"/>
    <w:rsid w:val="0004193F"/>
    <w:rsid w:val="000709BF"/>
    <w:rsid w:val="00080A4A"/>
    <w:rsid w:val="000D3D40"/>
    <w:rsid w:val="000D440E"/>
    <w:rsid w:val="0010603F"/>
    <w:rsid w:val="001073A6"/>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543D9"/>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63A2"/>
    <w:rsid w:val="003D6B89"/>
    <w:rsid w:val="003E2810"/>
    <w:rsid w:val="003F24EB"/>
    <w:rsid w:val="003F631F"/>
    <w:rsid w:val="003F79F1"/>
    <w:rsid w:val="00400C63"/>
    <w:rsid w:val="00413366"/>
    <w:rsid w:val="00424F9A"/>
    <w:rsid w:val="00427B37"/>
    <w:rsid w:val="00436A35"/>
    <w:rsid w:val="00460F13"/>
    <w:rsid w:val="004634FA"/>
    <w:rsid w:val="004723CA"/>
    <w:rsid w:val="00490BB0"/>
    <w:rsid w:val="00496E2E"/>
    <w:rsid w:val="004A2D91"/>
    <w:rsid w:val="004A32F0"/>
    <w:rsid w:val="004B204F"/>
    <w:rsid w:val="004B2F65"/>
    <w:rsid w:val="005065D4"/>
    <w:rsid w:val="00515A5A"/>
    <w:rsid w:val="00520BDA"/>
    <w:rsid w:val="0054664B"/>
    <w:rsid w:val="005516AC"/>
    <w:rsid w:val="0056407C"/>
    <w:rsid w:val="00596ABE"/>
    <w:rsid w:val="005A7495"/>
    <w:rsid w:val="005C02D2"/>
    <w:rsid w:val="005D668B"/>
    <w:rsid w:val="005F1C11"/>
    <w:rsid w:val="005F451D"/>
    <w:rsid w:val="006052EC"/>
    <w:rsid w:val="00613760"/>
    <w:rsid w:val="00635F98"/>
    <w:rsid w:val="006437AB"/>
    <w:rsid w:val="006525C2"/>
    <w:rsid w:val="006532A6"/>
    <w:rsid w:val="00662B91"/>
    <w:rsid w:val="0067206C"/>
    <w:rsid w:val="006758AB"/>
    <w:rsid w:val="006D3E26"/>
    <w:rsid w:val="006D5002"/>
    <w:rsid w:val="006F6F73"/>
    <w:rsid w:val="00707FDD"/>
    <w:rsid w:val="00714A35"/>
    <w:rsid w:val="00723F23"/>
    <w:rsid w:val="007358E3"/>
    <w:rsid w:val="0075451A"/>
    <w:rsid w:val="00755C7E"/>
    <w:rsid w:val="007667DD"/>
    <w:rsid w:val="00784400"/>
    <w:rsid w:val="007C1813"/>
    <w:rsid w:val="0081005F"/>
    <w:rsid w:val="008342DB"/>
    <w:rsid w:val="00836F07"/>
    <w:rsid w:val="00853A62"/>
    <w:rsid w:val="00854D32"/>
    <w:rsid w:val="00857888"/>
    <w:rsid w:val="00870502"/>
    <w:rsid w:val="00873C13"/>
    <w:rsid w:val="00881418"/>
    <w:rsid w:val="00885B52"/>
    <w:rsid w:val="008A3B63"/>
    <w:rsid w:val="008A6AD0"/>
    <w:rsid w:val="008A75CA"/>
    <w:rsid w:val="008B3961"/>
    <w:rsid w:val="008C2782"/>
    <w:rsid w:val="008E2859"/>
    <w:rsid w:val="0090405B"/>
    <w:rsid w:val="00915C84"/>
    <w:rsid w:val="00923E53"/>
    <w:rsid w:val="009328DD"/>
    <w:rsid w:val="00972310"/>
    <w:rsid w:val="00982F78"/>
    <w:rsid w:val="0098737E"/>
    <w:rsid w:val="009875B2"/>
    <w:rsid w:val="00987FC3"/>
    <w:rsid w:val="009C5777"/>
    <w:rsid w:val="009D4E77"/>
    <w:rsid w:val="009F0DFC"/>
    <w:rsid w:val="009F3445"/>
    <w:rsid w:val="00A414A7"/>
    <w:rsid w:val="00A50EEB"/>
    <w:rsid w:val="00A52886"/>
    <w:rsid w:val="00A75F4C"/>
    <w:rsid w:val="00A8326F"/>
    <w:rsid w:val="00A9584B"/>
    <w:rsid w:val="00AB1738"/>
    <w:rsid w:val="00AF3542"/>
    <w:rsid w:val="00AF776F"/>
    <w:rsid w:val="00B020FC"/>
    <w:rsid w:val="00B20041"/>
    <w:rsid w:val="00B57B2A"/>
    <w:rsid w:val="00B9617C"/>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DE7293"/>
    <w:rsid w:val="00E15396"/>
    <w:rsid w:val="00E160E0"/>
    <w:rsid w:val="00E17C67"/>
    <w:rsid w:val="00E331A7"/>
    <w:rsid w:val="00E47850"/>
    <w:rsid w:val="00E47D2B"/>
    <w:rsid w:val="00E5491A"/>
    <w:rsid w:val="00E61773"/>
    <w:rsid w:val="00E86125"/>
    <w:rsid w:val="00EA0301"/>
    <w:rsid w:val="00EA0DFF"/>
    <w:rsid w:val="00EC0B8E"/>
    <w:rsid w:val="00ED609E"/>
    <w:rsid w:val="00EF1342"/>
    <w:rsid w:val="00F05BEA"/>
    <w:rsid w:val="00F32AE0"/>
    <w:rsid w:val="00F33F60"/>
    <w:rsid w:val="00F47056"/>
    <w:rsid w:val="00F60031"/>
    <w:rsid w:val="00F60CEF"/>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paragraph" w:styleId="ListBullet">
    <w:name w:val="List Bullet"/>
    <w:basedOn w:val="Normal"/>
    <w:uiPriority w:val="99"/>
    <w:unhideWhenUsed/>
    <w:rsid w:val="00B9617C"/>
    <w:pPr>
      <w:numPr>
        <w:numId w:val="5"/>
      </w:numPr>
      <w:contextualSpacing/>
    </w:pPr>
  </w:style>
  <w:style w:type="character" w:styleId="CommentReference">
    <w:name w:val="annotation reference"/>
    <w:basedOn w:val="DefaultParagraphFont"/>
    <w:uiPriority w:val="99"/>
    <w:semiHidden/>
    <w:unhideWhenUsed/>
    <w:rsid w:val="002543D9"/>
    <w:rPr>
      <w:sz w:val="18"/>
      <w:szCs w:val="18"/>
    </w:rPr>
  </w:style>
  <w:style w:type="paragraph" w:styleId="CommentText">
    <w:name w:val="annotation text"/>
    <w:basedOn w:val="Normal"/>
    <w:link w:val="CommentTextChar"/>
    <w:uiPriority w:val="99"/>
    <w:semiHidden/>
    <w:unhideWhenUsed/>
    <w:rsid w:val="002543D9"/>
    <w:pPr>
      <w:keepLines w:val="0"/>
      <w:spacing w:after="160"/>
    </w:pPr>
    <w:rPr>
      <w:rFonts w:asciiTheme="minorHAnsi" w:hAnsiTheme="minorHAnsi" w:cstheme="minorBidi"/>
      <w:sz w:val="24"/>
      <w:szCs w:val="24"/>
    </w:rPr>
  </w:style>
  <w:style w:type="character" w:customStyle="1" w:styleId="CommentTextChar">
    <w:name w:val="Comment Text Char"/>
    <w:basedOn w:val="DefaultParagraphFont"/>
    <w:link w:val="CommentText"/>
    <w:uiPriority w:val="99"/>
    <w:semiHidden/>
    <w:rsid w:val="002543D9"/>
    <w:rPr>
      <w:sz w:val="24"/>
      <w:szCs w:val="24"/>
    </w:rPr>
  </w:style>
  <w:style w:type="paragraph" w:styleId="CommentSubject">
    <w:name w:val="annotation subject"/>
    <w:basedOn w:val="CommentText"/>
    <w:next w:val="CommentText"/>
    <w:link w:val="CommentSubjectChar"/>
    <w:uiPriority w:val="99"/>
    <w:semiHidden/>
    <w:unhideWhenUsed/>
    <w:rsid w:val="001073A6"/>
    <w:pPr>
      <w:keepLines/>
      <w:spacing w:after="240"/>
    </w:pPr>
    <w:rPr>
      <w:rFonts w:ascii="Arial" w:hAnsi="Arial" w:cs="Arial"/>
      <w:b/>
      <w:bCs/>
      <w:sz w:val="20"/>
      <w:szCs w:val="20"/>
    </w:rPr>
  </w:style>
  <w:style w:type="character" w:customStyle="1" w:styleId="CommentSubjectChar">
    <w:name w:val="Comment Subject Char"/>
    <w:basedOn w:val="CommentTextChar"/>
    <w:link w:val="CommentSubject"/>
    <w:uiPriority w:val="99"/>
    <w:semiHidden/>
    <w:rsid w:val="001073A6"/>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855">
      <w:bodyDiv w:val="1"/>
      <w:marLeft w:val="0"/>
      <w:marRight w:val="0"/>
      <w:marTop w:val="0"/>
      <w:marBottom w:val="0"/>
      <w:divBdr>
        <w:top w:val="none" w:sz="0" w:space="0" w:color="auto"/>
        <w:left w:val="none" w:sz="0" w:space="0" w:color="auto"/>
        <w:bottom w:val="none" w:sz="0" w:space="0" w:color="auto"/>
        <w:right w:val="none" w:sz="0" w:space="0" w:color="auto"/>
      </w:divBdr>
    </w:div>
    <w:div w:id="312371023">
      <w:bodyDiv w:val="1"/>
      <w:marLeft w:val="0"/>
      <w:marRight w:val="0"/>
      <w:marTop w:val="0"/>
      <w:marBottom w:val="0"/>
      <w:divBdr>
        <w:top w:val="none" w:sz="0" w:space="0" w:color="auto"/>
        <w:left w:val="none" w:sz="0" w:space="0" w:color="auto"/>
        <w:bottom w:val="none" w:sz="0" w:space="0" w:color="auto"/>
        <w:right w:val="none" w:sz="0" w:space="0" w:color="auto"/>
      </w:divBdr>
      <w:divsChild>
        <w:div w:id="156776529">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 w:id="202794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ic.rsc.org/exhibition-chemist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ence.cleapss.org.uk/Resource-Info/PX007-Ammonium-dichromate-VI.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rsc.li/EiC118d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27d643f5-4560-4eff-9f48-d0fe6b2bec2d"/>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Clarifying compounds and mixtures - the reaction of aluminium with iodine - technician notes</vt:lpstr>
    </vt:vector>
  </TitlesOfParts>
  <Company>Royal Society of Chemistry</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Containing the dichromate volcano - technician notes</dc:title>
  <dc:subject>Demonstration silver acetylide as a contact explosive</dc:subject>
  <dc:creator>Royal Society of Chemistry;Declan Fleming</dc:creator>
  <cp:lastModifiedBy>Luke Blackburn</cp:lastModifiedBy>
  <cp:revision>20</cp:revision>
  <dcterms:created xsi:type="dcterms:W3CDTF">2017-05-02T10:14:00Z</dcterms:created>
  <dcterms:modified xsi:type="dcterms:W3CDTF">2017-11-28T11:12:00Z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