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53CE1" w14:textId="151D586E" w:rsidR="00650DDD" w:rsidRDefault="00463692" w:rsidP="003A25E8">
      <w:pPr>
        <w:pStyle w:val="Heading1"/>
        <w:spacing w:after="0"/>
      </w:pPr>
      <w:r w:rsidRPr="00463692">
        <w:t>Radioactive</w:t>
      </w:r>
      <w:r w:rsidR="00A41971">
        <w:t xml:space="preserve"> decay </w:t>
      </w:r>
      <w:r>
        <w:t>knowledge organiser</w:t>
      </w:r>
    </w:p>
    <w:p w14:paraId="21D6439D" w14:textId="77777777" w:rsidR="003A25E8" w:rsidRPr="003A25E8" w:rsidRDefault="003A25E8" w:rsidP="003A25E8">
      <w:pPr>
        <w:pStyle w:val="Leadparagraph"/>
      </w:pPr>
    </w:p>
    <w:p w14:paraId="08A04268" w14:textId="77777777" w:rsidR="00582283" w:rsidRDefault="009875B2" w:rsidP="00582283">
      <w:pPr>
        <w:pStyle w:val="Leadparagraph"/>
        <w:spacing w:after="0"/>
        <w:rPr>
          <w:rStyle w:val="LeadparagraphChar"/>
          <w:b/>
          <w:i/>
        </w:rPr>
      </w:pPr>
      <w:r w:rsidRPr="009875B2">
        <w:rPr>
          <w:rStyle w:val="LeadparagraphChar"/>
          <w:b/>
          <w:i/>
        </w:rPr>
        <w:t>Education in Chemistry</w:t>
      </w:r>
    </w:p>
    <w:p w14:paraId="4641FCF8" w14:textId="35950A97" w:rsidR="00582283" w:rsidRDefault="00582283" w:rsidP="00B91029">
      <w:pPr>
        <w:pStyle w:val="Leadparagraph"/>
        <w:spacing w:after="0"/>
        <w:rPr>
          <w:rStyle w:val="Hyperlink"/>
          <w:b w:val="0"/>
        </w:rPr>
      </w:pPr>
      <w:r>
        <w:rPr>
          <w:rStyle w:val="LeadparagraphChar"/>
        </w:rPr>
        <w:t>March 2018</w:t>
      </w:r>
      <w:r w:rsidR="009875B2">
        <w:rPr>
          <w:rStyle w:val="LeadparagraphChar"/>
          <w:b/>
        </w:rPr>
        <w:br/>
      </w:r>
      <w:hyperlink r:id="rId10" w:history="1">
        <w:r w:rsidR="00B91029">
          <w:rPr>
            <w:rStyle w:val="Hyperlink"/>
            <w:b w:val="0"/>
          </w:rPr>
          <w:t>rsc.li/EiC218-thehuntison</w:t>
        </w:r>
      </w:hyperlink>
    </w:p>
    <w:p w14:paraId="1E8059C8" w14:textId="77777777" w:rsidR="00BD42D1" w:rsidRDefault="00BD42D1" w:rsidP="00B91029">
      <w:pPr>
        <w:rPr>
          <w:b/>
        </w:rPr>
      </w:pPr>
    </w:p>
    <w:p w14:paraId="3AAABD2B" w14:textId="5AE1AB95" w:rsidR="00B91029" w:rsidRPr="00B91029" w:rsidRDefault="003A25E8" w:rsidP="00B91029">
      <w:bookmarkStart w:id="0" w:name="_GoBack"/>
      <w:bookmarkEnd w:id="0"/>
      <w:r>
        <w:rPr>
          <w:b/>
        </w:rPr>
        <w:t>This worksheet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The hunt is on’.</w:t>
      </w: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85"/>
        <w:gridCol w:w="4598"/>
        <w:gridCol w:w="5090"/>
      </w:tblGrid>
      <w:tr w:rsidR="00463692" w:rsidRPr="00463692" w14:paraId="36541B54" w14:textId="77777777" w:rsidTr="00FB3893">
        <w:trPr>
          <w:trHeight w:val="412"/>
        </w:trPr>
        <w:tc>
          <w:tcPr>
            <w:tcW w:w="45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02A68" w14:textId="77777777" w:rsidR="00463692" w:rsidRPr="00463692" w:rsidRDefault="00463692" w:rsidP="00463692">
            <w:r w:rsidRPr="00463692">
              <w:rPr>
                <w:b/>
                <w:bCs/>
                <w:lang w:val="el-GR"/>
              </w:rPr>
              <w:t>α</w:t>
            </w:r>
            <w:r w:rsidRPr="00463692">
              <w:rPr>
                <w:b/>
                <w:bCs/>
              </w:rPr>
              <w:t xml:space="preserve"> decay </w:t>
            </w:r>
          </w:p>
        </w:tc>
        <w:tc>
          <w:tcPr>
            <w:tcW w:w="45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797D8" w14:textId="77777777" w:rsidR="00463692" w:rsidRPr="00463692" w:rsidRDefault="00463692" w:rsidP="00463692">
            <w:r w:rsidRPr="00463692">
              <w:rPr>
                <w:b/>
                <w:bCs/>
                <w:lang w:val="el-GR"/>
              </w:rPr>
              <w:t>β</w:t>
            </w:r>
            <w:r w:rsidRPr="00463692">
              <w:rPr>
                <w:b/>
                <w:bCs/>
              </w:rPr>
              <w:t xml:space="preserve"> decay</w:t>
            </w:r>
          </w:p>
        </w:tc>
        <w:tc>
          <w:tcPr>
            <w:tcW w:w="5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91EED" w14:textId="77777777" w:rsidR="00463692" w:rsidRPr="00463692" w:rsidRDefault="00463692" w:rsidP="00463692">
            <w:r w:rsidRPr="00463692">
              <w:rPr>
                <w:b/>
                <w:bCs/>
                <w:lang w:val="el-GR"/>
              </w:rPr>
              <w:t>γ</w:t>
            </w:r>
            <w:r w:rsidRPr="00463692">
              <w:rPr>
                <w:b/>
                <w:bCs/>
              </w:rPr>
              <w:t xml:space="preserve"> decay</w:t>
            </w:r>
          </w:p>
        </w:tc>
      </w:tr>
      <w:tr w:rsidR="00463692" w:rsidRPr="00463692" w14:paraId="4FED5BA4" w14:textId="77777777" w:rsidTr="00FB3893">
        <w:trPr>
          <w:trHeight w:val="391"/>
        </w:trPr>
        <w:tc>
          <w:tcPr>
            <w:tcW w:w="45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925F4" w14:textId="77777777" w:rsidR="00463692" w:rsidRPr="00463692" w:rsidRDefault="00463692" w:rsidP="00463692">
            <w:r w:rsidRPr="00463692">
              <w:t>alpha decay</w:t>
            </w:r>
          </w:p>
        </w:tc>
        <w:tc>
          <w:tcPr>
            <w:tcW w:w="45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1E393" w14:textId="77777777" w:rsidR="00463692" w:rsidRPr="00463692" w:rsidRDefault="00463692" w:rsidP="00463692">
            <w:r w:rsidRPr="00463692">
              <w:t>beta decay</w:t>
            </w:r>
          </w:p>
        </w:tc>
        <w:tc>
          <w:tcPr>
            <w:tcW w:w="5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44163" w14:textId="77777777" w:rsidR="00463692" w:rsidRPr="00463692" w:rsidRDefault="00463692" w:rsidP="00463692">
            <w:r w:rsidRPr="00463692">
              <w:t>gamma decay</w:t>
            </w:r>
          </w:p>
        </w:tc>
      </w:tr>
      <w:tr w:rsidR="00463692" w:rsidRPr="00463692" w14:paraId="077A68B9" w14:textId="77777777" w:rsidTr="00FB3893">
        <w:trPr>
          <w:trHeight w:val="1231"/>
        </w:trPr>
        <w:tc>
          <w:tcPr>
            <w:tcW w:w="45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172F9" w14:textId="77777777" w:rsidR="001D193B" w:rsidRPr="00463692" w:rsidRDefault="00582283" w:rsidP="00463692">
            <w:pPr>
              <w:numPr>
                <w:ilvl w:val="0"/>
                <w:numId w:val="28"/>
              </w:numPr>
              <w:spacing w:after="0"/>
            </w:pPr>
            <w:proofErr w:type="gramStart"/>
            <w:r w:rsidRPr="00463692">
              <w:t>He</w:t>
            </w:r>
            <w:proofErr w:type="gramEnd"/>
            <w:r w:rsidRPr="00463692">
              <w:t xml:space="preserve"> nucleus (containing 2 protons and 2 neutrons) is lost.</w:t>
            </w:r>
          </w:p>
          <w:p w14:paraId="4F69C824" w14:textId="10213849" w:rsidR="001D193B" w:rsidRPr="00463692" w:rsidRDefault="001D193B" w:rsidP="00463692">
            <w:pPr>
              <w:spacing w:after="0"/>
              <w:ind w:left="720"/>
            </w:pPr>
          </w:p>
        </w:tc>
        <w:tc>
          <w:tcPr>
            <w:tcW w:w="45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FEE90" w14:textId="77777777" w:rsidR="001D193B" w:rsidRPr="00463692" w:rsidRDefault="00582283" w:rsidP="00463692">
            <w:pPr>
              <w:numPr>
                <w:ilvl w:val="0"/>
                <w:numId w:val="28"/>
              </w:numPr>
              <w:spacing w:after="0"/>
            </w:pPr>
            <w:r w:rsidRPr="00463692">
              <w:t>A neutron turns into a proton and an electron.</w:t>
            </w:r>
          </w:p>
          <w:p w14:paraId="51DFC9DA" w14:textId="77777777" w:rsidR="001D193B" w:rsidRPr="00463692" w:rsidRDefault="00582283" w:rsidP="00463692">
            <w:pPr>
              <w:numPr>
                <w:ilvl w:val="0"/>
                <w:numId w:val="28"/>
              </w:numPr>
              <w:spacing w:after="0"/>
            </w:pPr>
            <w:r w:rsidRPr="00463692">
              <w:t>The proton stays in the nucleus.</w:t>
            </w:r>
          </w:p>
          <w:p w14:paraId="36C1F905" w14:textId="3409BDD1" w:rsidR="001D193B" w:rsidRPr="00463692" w:rsidRDefault="00582283" w:rsidP="00463692">
            <w:pPr>
              <w:numPr>
                <w:ilvl w:val="0"/>
                <w:numId w:val="28"/>
              </w:numPr>
              <w:spacing w:after="0"/>
            </w:pPr>
            <w:r w:rsidRPr="00463692">
              <w:t xml:space="preserve">The electron is lost as a </w:t>
            </w:r>
            <w:r w:rsidRPr="00463692">
              <w:rPr>
                <w:lang w:val="el-GR"/>
              </w:rPr>
              <w:t>β</w:t>
            </w:r>
            <w:r w:rsidRPr="00463692">
              <w:t xml:space="preserve"> particle.</w:t>
            </w:r>
          </w:p>
        </w:tc>
        <w:tc>
          <w:tcPr>
            <w:tcW w:w="5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B14F3" w14:textId="77777777" w:rsidR="001D193B" w:rsidRPr="00463692" w:rsidRDefault="00582283" w:rsidP="00463692">
            <w:pPr>
              <w:numPr>
                <w:ilvl w:val="0"/>
                <w:numId w:val="28"/>
              </w:numPr>
              <w:spacing w:after="0"/>
            </w:pPr>
            <w:r w:rsidRPr="00463692">
              <w:t>Electromagnetic waves emitted from the nucleus.</w:t>
            </w:r>
          </w:p>
          <w:p w14:paraId="6EDF89D6" w14:textId="77777777" w:rsidR="001D193B" w:rsidRPr="00463692" w:rsidRDefault="00582283" w:rsidP="00463692">
            <w:pPr>
              <w:numPr>
                <w:ilvl w:val="0"/>
                <w:numId w:val="28"/>
              </w:numPr>
              <w:spacing w:after="0"/>
            </w:pPr>
            <w:r w:rsidRPr="00463692">
              <w:t>Often accompanies the other modes of decay.</w:t>
            </w:r>
          </w:p>
          <w:p w14:paraId="778A15FC" w14:textId="7FEB68DF" w:rsidR="001D193B" w:rsidRPr="00463692" w:rsidRDefault="001D193B" w:rsidP="00463692">
            <w:pPr>
              <w:spacing w:after="0"/>
              <w:ind w:left="720"/>
            </w:pPr>
          </w:p>
        </w:tc>
      </w:tr>
      <w:tr w:rsidR="00463692" w:rsidRPr="00463692" w14:paraId="11C80D5D" w14:textId="77777777" w:rsidTr="00FB3893">
        <w:trPr>
          <w:trHeight w:val="839"/>
        </w:trPr>
        <w:tc>
          <w:tcPr>
            <w:tcW w:w="45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9E0990" w14:textId="77777777" w:rsidR="00463692" w:rsidRPr="00463692" w:rsidRDefault="00463692" w:rsidP="00463692">
            <w:pPr>
              <w:numPr>
                <w:ilvl w:val="0"/>
                <w:numId w:val="28"/>
              </w:numPr>
              <w:spacing w:after="0"/>
              <w:rPr>
                <w:color w:val="FF0000"/>
              </w:rPr>
            </w:pPr>
            <w:r w:rsidRPr="00463692">
              <w:rPr>
                <w:color w:val="FF0000"/>
              </w:rPr>
              <w:t>Atomic mass decreases by 4.</w:t>
            </w:r>
          </w:p>
          <w:p w14:paraId="09E1BACC" w14:textId="77777777" w:rsidR="00463692" w:rsidRPr="00463692" w:rsidRDefault="00463692" w:rsidP="00463692">
            <w:pPr>
              <w:numPr>
                <w:ilvl w:val="0"/>
                <w:numId w:val="28"/>
              </w:numPr>
              <w:spacing w:after="0"/>
              <w:rPr>
                <w:color w:val="FF0000"/>
              </w:rPr>
            </w:pPr>
            <w:r w:rsidRPr="00463692">
              <w:rPr>
                <w:color w:val="FF0000"/>
              </w:rPr>
              <w:t>Atomic number decreases by 2.</w:t>
            </w:r>
          </w:p>
          <w:p w14:paraId="30DADB6D" w14:textId="33C7E3A6" w:rsidR="00463692" w:rsidRPr="00463692" w:rsidRDefault="00463692" w:rsidP="00463692">
            <w:pPr>
              <w:spacing w:after="0"/>
              <w:ind w:left="720"/>
            </w:pPr>
            <w:r w:rsidRPr="00463692">
              <w:rPr>
                <w:color w:val="FF0000"/>
              </w:rPr>
              <w:t>A new element is formed.</w:t>
            </w:r>
          </w:p>
        </w:tc>
        <w:tc>
          <w:tcPr>
            <w:tcW w:w="45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609108" w14:textId="77777777" w:rsidR="00463692" w:rsidRPr="00463692" w:rsidRDefault="00463692" w:rsidP="00463692">
            <w:pPr>
              <w:numPr>
                <w:ilvl w:val="0"/>
                <w:numId w:val="28"/>
              </w:numPr>
              <w:spacing w:after="0"/>
              <w:rPr>
                <w:color w:val="00B050"/>
              </w:rPr>
            </w:pPr>
            <w:r w:rsidRPr="00463692">
              <w:rPr>
                <w:color w:val="00B050"/>
              </w:rPr>
              <w:t>Atomic mass stays the same.</w:t>
            </w:r>
          </w:p>
          <w:p w14:paraId="25A8B999" w14:textId="77777777" w:rsidR="00463692" w:rsidRPr="00463692" w:rsidRDefault="00463692" w:rsidP="00463692">
            <w:pPr>
              <w:numPr>
                <w:ilvl w:val="0"/>
                <w:numId w:val="28"/>
              </w:numPr>
              <w:spacing w:after="0"/>
              <w:rPr>
                <w:color w:val="00B050"/>
              </w:rPr>
            </w:pPr>
            <w:r w:rsidRPr="00463692">
              <w:rPr>
                <w:color w:val="00B050"/>
              </w:rPr>
              <w:t>Atomic number increases by 1.</w:t>
            </w:r>
          </w:p>
          <w:p w14:paraId="5720A6C2" w14:textId="54E4E651" w:rsidR="00463692" w:rsidRPr="00463692" w:rsidRDefault="00463692" w:rsidP="00463692">
            <w:pPr>
              <w:spacing w:after="0"/>
              <w:ind w:left="720"/>
            </w:pPr>
            <w:r w:rsidRPr="00463692">
              <w:rPr>
                <w:color w:val="00B050"/>
              </w:rPr>
              <w:t>A new element is formed.</w:t>
            </w:r>
          </w:p>
        </w:tc>
        <w:tc>
          <w:tcPr>
            <w:tcW w:w="50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A76220" w14:textId="4F7FA2CD" w:rsidR="00463692" w:rsidRDefault="00463692" w:rsidP="00463692">
            <w:pPr>
              <w:numPr>
                <w:ilvl w:val="0"/>
                <w:numId w:val="28"/>
              </w:numPr>
              <w:spacing w:after="0"/>
              <w:rPr>
                <w:color w:val="4F81BD" w:themeColor="accent1"/>
              </w:rPr>
            </w:pPr>
            <w:r w:rsidRPr="00FB3893">
              <w:rPr>
                <w:color w:val="4F81BD" w:themeColor="accent1"/>
              </w:rPr>
              <w:t>No change of atomic mass or atomic number.</w:t>
            </w:r>
          </w:p>
          <w:p w14:paraId="1AAA493B" w14:textId="4293BA02" w:rsidR="00463692" w:rsidRPr="00FB3893" w:rsidRDefault="00FB3893" w:rsidP="00FB3893">
            <w:pPr>
              <w:numPr>
                <w:ilvl w:val="0"/>
                <w:numId w:val="28"/>
              </w:numPr>
              <w:spacing w:after="0"/>
              <w:rPr>
                <w:color w:val="4F81BD" w:themeColor="accent1"/>
              </w:rPr>
            </w:pPr>
            <w:r w:rsidRPr="00FB3893">
              <w:rPr>
                <w:color w:val="4F81BD" w:themeColor="accent1"/>
              </w:rPr>
              <w:t>No new element formed.</w:t>
            </w:r>
          </w:p>
        </w:tc>
      </w:tr>
      <w:tr w:rsidR="00463692" w:rsidRPr="00463692" w14:paraId="511C25BF" w14:textId="77777777" w:rsidTr="00BD42D1">
        <w:trPr>
          <w:trHeight w:val="637"/>
        </w:trPr>
        <w:tc>
          <w:tcPr>
            <w:tcW w:w="45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104490" w14:textId="74A3B2EE" w:rsidR="00463692" w:rsidRPr="00463692" w:rsidRDefault="00BD42D1" w:rsidP="00DD3B9D">
            <w:pPr>
              <w:jc w:val="center"/>
            </w:pPr>
            <m:oMathPara>
              <m:oMathParaPr>
                <m:jc m:val="centerGroup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92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238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U→</m:t>
                    </m:r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/>
                          </w:rPr>
                          <m:t>90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234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Th+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He</m:t>
                            </m:r>
                          </m:e>
                        </m:sPre>
                      </m:e>
                    </m:sPre>
                  </m:e>
                </m:sPre>
              </m:oMath>
            </m:oMathPara>
          </w:p>
        </w:tc>
        <w:tc>
          <w:tcPr>
            <w:tcW w:w="45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2353D4" w14:textId="63B9F539" w:rsidR="00463692" w:rsidRPr="00DD3B9D" w:rsidRDefault="00BD42D1" w:rsidP="00DD3B9D">
            <w:pPr>
              <w:jc w:val="center"/>
            </w:pPr>
            <m:oMathPara>
              <m:oMathParaPr>
                <m:jc m:val="center"/>
              </m:oMathParaPr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14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C → </m:t>
                    </m:r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N+ 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sPre>
                      </m:e>
                    </m:sPre>
                  </m:e>
                </m:sPre>
              </m:oMath>
            </m:oMathPara>
          </w:p>
        </w:tc>
        <w:tc>
          <w:tcPr>
            <w:tcW w:w="509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3CE3F" w14:textId="77777777" w:rsidR="00463692" w:rsidRPr="00463692" w:rsidRDefault="00463692" w:rsidP="00463692"/>
        </w:tc>
      </w:tr>
      <w:tr w:rsidR="00463692" w:rsidRPr="00463692" w14:paraId="079E5C16" w14:textId="77777777" w:rsidTr="00BD42D1">
        <w:trPr>
          <w:trHeight w:val="1345"/>
        </w:trPr>
        <w:tc>
          <w:tcPr>
            <w:tcW w:w="918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0E894" w14:textId="77777777" w:rsidR="00463692" w:rsidRPr="00463692" w:rsidRDefault="00463692" w:rsidP="00463692">
            <w:r w:rsidRPr="00463692">
              <w:t xml:space="preserve">The same rules apply when writing a decay equation as for other equations.  The equations must be </w:t>
            </w:r>
            <w:r w:rsidRPr="00463692">
              <w:rPr>
                <w:b/>
                <w:bCs/>
              </w:rPr>
              <w:t xml:space="preserve">balanced. </w:t>
            </w:r>
          </w:p>
          <w:p w14:paraId="32474797" w14:textId="77777777" w:rsidR="00463692" w:rsidRPr="00463692" w:rsidRDefault="00463692" w:rsidP="00463692">
            <w:r w:rsidRPr="00463692">
              <w:t xml:space="preserve">The </w:t>
            </w:r>
            <w:r w:rsidRPr="00463692">
              <w:rPr>
                <w:b/>
                <w:bCs/>
              </w:rPr>
              <w:t xml:space="preserve">mass numbers </w:t>
            </w:r>
            <w:r w:rsidRPr="00463692">
              <w:t xml:space="preserve">on the left and right of the equations must be equal. </w:t>
            </w:r>
          </w:p>
          <w:p w14:paraId="73922CD1" w14:textId="77777777" w:rsidR="00463692" w:rsidRPr="00463692" w:rsidRDefault="00463692" w:rsidP="00463692">
            <w:r w:rsidRPr="00463692">
              <w:t xml:space="preserve">The </w:t>
            </w:r>
            <w:r w:rsidRPr="00463692">
              <w:rPr>
                <w:b/>
                <w:bCs/>
              </w:rPr>
              <w:t xml:space="preserve">atomic numbers </w:t>
            </w:r>
            <w:r w:rsidRPr="00463692">
              <w:t>on the left and right of the equations must be equal.</w:t>
            </w:r>
          </w:p>
        </w:tc>
        <w:tc>
          <w:tcPr>
            <w:tcW w:w="509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E3A46" w14:textId="77777777" w:rsidR="00463692" w:rsidRPr="00463692" w:rsidRDefault="00463692" w:rsidP="00463692"/>
        </w:tc>
      </w:tr>
    </w:tbl>
    <w:p w14:paraId="244822CA" w14:textId="77777777" w:rsidR="00463692" w:rsidRPr="00463692" w:rsidRDefault="00463692" w:rsidP="00463692"/>
    <w:sectPr w:rsidR="00463692" w:rsidRPr="00463692" w:rsidSect="00463692"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34D9A7E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D42D1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BD42D1">
        <w:rPr>
          <w:noProof/>
        </w:rPr>
        <w:t>2</w:t>
      </w:r>
    </w:fldSimple>
  </w:p>
  <w:p w14:paraId="054408F2" w14:textId="67A7051C" w:rsidR="006F6F73" w:rsidRDefault="001D1E2A" w:rsidP="00FB3893">
    <w:pPr>
      <w:pStyle w:val="Footer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 w:rsidR="00FB3893">
      <w:tab/>
    </w:r>
    <w:r w:rsidR="00FB3893">
      <w:tab/>
    </w:r>
    <w:r w:rsidR="00FB3893">
      <w:tab/>
      <w:t xml:space="preserve">  </w:t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63381793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D42D1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BD42D1">
        <w:rPr>
          <w:noProof/>
        </w:rPr>
        <w:t>1</w:t>
      </w:r>
    </w:fldSimple>
  </w:p>
  <w:p w14:paraId="054408F4" w14:textId="6E1693D9" w:rsidR="00E15396" w:rsidRDefault="00520BDA" w:rsidP="00FB3893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>
      <w:tab/>
    </w:r>
    <w:r w:rsidR="00FB3893">
      <w:tab/>
    </w:r>
    <w:r w:rsidR="00FB3893">
      <w:tab/>
    </w:r>
    <w:r w:rsidR="00FB3893">
      <w:tab/>
      <w:t xml:space="preserve">  </w:t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0847A167">
          <wp:simplePos x="0" y="0"/>
          <wp:positionH relativeFrom="column">
            <wp:posOffset>7693660</wp:posOffset>
          </wp:positionH>
          <wp:positionV relativeFrom="paragraph">
            <wp:posOffset>-248285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4326D"/>
    <w:multiLevelType w:val="hybridMultilevel"/>
    <w:tmpl w:val="B342645E"/>
    <w:lvl w:ilvl="0" w:tplc="D2DA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88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47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E0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F63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0E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82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0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A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68A7945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301A0"/>
    <w:multiLevelType w:val="hybridMultilevel"/>
    <w:tmpl w:val="F03CF3C2"/>
    <w:lvl w:ilvl="0" w:tplc="03A29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A9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E2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4F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E7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9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66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8F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C5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B293E"/>
    <w:multiLevelType w:val="hybridMultilevel"/>
    <w:tmpl w:val="B5B809DA"/>
    <w:lvl w:ilvl="0" w:tplc="5156C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08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C9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A9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2C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40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8E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6D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A9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5"/>
  </w:num>
  <w:num w:numId="17">
    <w:abstractNumId w:val="22"/>
  </w:num>
  <w:num w:numId="18">
    <w:abstractNumId w:val="17"/>
  </w:num>
  <w:num w:numId="19">
    <w:abstractNumId w:val="24"/>
  </w:num>
  <w:num w:numId="20">
    <w:abstractNumId w:val="21"/>
  </w:num>
  <w:num w:numId="21">
    <w:abstractNumId w:val="23"/>
  </w:num>
  <w:num w:numId="22">
    <w:abstractNumId w:val="20"/>
  </w:num>
  <w:num w:numId="23">
    <w:abstractNumId w:val="27"/>
  </w:num>
  <w:num w:numId="24">
    <w:abstractNumId w:val="14"/>
  </w:num>
  <w:num w:numId="25">
    <w:abstractNumId w:val="11"/>
  </w:num>
  <w:num w:numId="26">
    <w:abstractNumId w:val="13"/>
  </w:num>
  <w:num w:numId="27">
    <w:abstractNumId w:val="2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93B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12D3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1282"/>
    <w:rsid w:val="00334EAD"/>
    <w:rsid w:val="00343CBA"/>
    <w:rsid w:val="00361A0D"/>
    <w:rsid w:val="00384D95"/>
    <w:rsid w:val="003A25E8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63692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82283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DDD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02B4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47BA8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1971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B2A"/>
    <w:rsid w:val="00B718A6"/>
    <w:rsid w:val="00B76B03"/>
    <w:rsid w:val="00B91029"/>
    <w:rsid w:val="00BA512C"/>
    <w:rsid w:val="00BB1F22"/>
    <w:rsid w:val="00BD42D1"/>
    <w:rsid w:val="00C011C9"/>
    <w:rsid w:val="00C14083"/>
    <w:rsid w:val="00C17DDC"/>
    <w:rsid w:val="00C222CB"/>
    <w:rsid w:val="00C3053B"/>
    <w:rsid w:val="00C74010"/>
    <w:rsid w:val="00CA6ED6"/>
    <w:rsid w:val="00CD10BF"/>
    <w:rsid w:val="00CE37CF"/>
    <w:rsid w:val="00D12F46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3B9D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3BC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94E1C"/>
    <w:rsid w:val="00FA248D"/>
    <w:rsid w:val="00FA7F39"/>
    <w:rsid w:val="00FB3893"/>
    <w:rsid w:val="00FB66F1"/>
    <w:rsid w:val="00FC0A2D"/>
    <w:rsid w:val="00FC2607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50DD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3692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8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7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218-thehunt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decay knowledge organiser</vt:lpstr>
    </vt:vector>
  </TitlesOfParts>
  <Company>Royal Society of Chemistry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decay knowledge organiser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12</cp:revision>
  <dcterms:created xsi:type="dcterms:W3CDTF">2018-01-23T12:49:00Z</dcterms:created>
  <dcterms:modified xsi:type="dcterms:W3CDTF">2018-02-13T11:04:00Z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