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4E33CE6E" w:rsidR="00FD0B10" w:rsidRPr="00FD0B10" w:rsidRDefault="006901B3" w:rsidP="00FD0B10">
      <w:pPr>
        <w:pStyle w:val="Heading1"/>
      </w:pPr>
      <w:r>
        <w:t>What’s the best fuel?</w:t>
      </w:r>
    </w:p>
    <w:p w14:paraId="20B3C8ED" w14:textId="77777777" w:rsidR="00FD204B" w:rsidRDefault="009875B2" w:rsidP="00FD204B">
      <w:pPr>
        <w:pStyle w:val="Leadparagraph"/>
        <w:spacing w:after="0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</w:t>
      </w:r>
      <w:r w:rsidR="00506C90">
        <w:rPr>
          <w:rStyle w:val="LeadparagraphChar"/>
        </w:rPr>
        <w:t>y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FD204B" w:rsidRPr="00FD204B">
          <w:rPr>
            <w:rStyle w:val="Hyperlink"/>
            <w:b w:val="0"/>
            <w:shd w:val="clear" w:color="auto" w:fill="FFFFFF"/>
          </w:rPr>
          <w:t>rsc.li/EiC318-airpollution</w:t>
        </w:r>
      </w:hyperlink>
    </w:p>
    <w:p w14:paraId="1E62600F" w14:textId="77777777" w:rsidR="00FD204B" w:rsidRDefault="00FD204B" w:rsidP="00FD204B">
      <w:pPr>
        <w:pStyle w:val="Leadparagraph"/>
        <w:spacing w:after="0"/>
      </w:pPr>
    </w:p>
    <w:p w14:paraId="33C9BBD2" w14:textId="7AD02683" w:rsidR="0080030A" w:rsidRDefault="0029407B" w:rsidP="00FD204B">
      <w:pPr>
        <w:pStyle w:val="Leadparagraph"/>
        <w:spacing w:after="0"/>
        <w:rPr>
          <w:b w:val="0"/>
        </w:rPr>
      </w:pPr>
      <w:r w:rsidRPr="00B134EF">
        <w:t>Th</w:t>
      </w:r>
      <w:r w:rsidR="006901B3">
        <w:t>is experiment accompanies</w:t>
      </w:r>
      <w:r w:rsidRPr="00B134EF">
        <w:t xml:space="preserve"> the above article </w:t>
      </w:r>
      <w:r w:rsidRPr="00C06DC8">
        <w:t>‘</w:t>
      </w:r>
      <w:r w:rsidR="00506C90">
        <w:t>Taking care of the air</w:t>
      </w:r>
      <w:r w:rsidR="00F428D8">
        <w:t>’</w:t>
      </w:r>
      <w:r>
        <w:t>.</w:t>
      </w:r>
    </w:p>
    <w:p w14:paraId="5CFD0A7E" w14:textId="3CD88FBC" w:rsidR="00C53475" w:rsidRDefault="00C53475" w:rsidP="00C53475">
      <w:pPr>
        <w:spacing w:after="0"/>
      </w:pPr>
    </w:p>
    <w:p w14:paraId="7F98FE88" w14:textId="77777777" w:rsidR="00885FC7" w:rsidRDefault="00885FC7" w:rsidP="00885FC7">
      <w:pPr>
        <w:spacing w:after="0"/>
        <w:rPr>
          <w:sz w:val="22"/>
          <w:szCs w:val="22"/>
        </w:rPr>
      </w:pPr>
      <w:bookmarkStart w:id="0" w:name="_Hlk508007242"/>
      <w:r>
        <w:rPr>
          <w:sz w:val="22"/>
          <w:szCs w:val="22"/>
        </w:rPr>
        <w:t>Fuels are burnt to produce power for a number of applications: from running cars and cooking food to powering industrial plants. There are many fuel materials to choose from and people consider which fuel is best for their application depending on:</w:t>
      </w:r>
    </w:p>
    <w:p w14:paraId="2B699DCB" w14:textId="77777777" w:rsidR="00885FC7" w:rsidRPr="00634169" w:rsidRDefault="00885FC7" w:rsidP="00885FC7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634169">
        <w:rPr>
          <w:sz w:val="22"/>
          <w:szCs w:val="22"/>
        </w:rPr>
        <w:t>energy content of the fuel</w:t>
      </w:r>
    </w:p>
    <w:p w14:paraId="0DD74E4A" w14:textId="77777777" w:rsidR="00885FC7" w:rsidRPr="00634169" w:rsidRDefault="00885FC7" w:rsidP="00885FC7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How easily the fuel can be used</w:t>
      </w:r>
    </w:p>
    <w:p w14:paraId="17E322AF" w14:textId="77777777" w:rsidR="00885FC7" w:rsidRPr="00634169" w:rsidRDefault="00885FC7" w:rsidP="00885FC7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How the fuel is stored</w:t>
      </w:r>
    </w:p>
    <w:p w14:paraId="7FB65715" w14:textId="77777777" w:rsidR="00885FC7" w:rsidRPr="00634169" w:rsidRDefault="00885FC7" w:rsidP="00885FC7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How much the fuel costs</w:t>
      </w:r>
    </w:p>
    <w:p w14:paraId="1137B3B9" w14:textId="77777777" w:rsidR="00885FC7" w:rsidRPr="00634169" w:rsidRDefault="00885FC7" w:rsidP="00885FC7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How much pollution the fuel produces</w:t>
      </w:r>
    </w:p>
    <w:p w14:paraId="20F673AF" w14:textId="77777777" w:rsidR="00885FC7" w:rsidRPr="00634169" w:rsidRDefault="00885FC7" w:rsidP="00885FC7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Any chemical hazards associated with the fuel</w:t>
      </w:r>
    </w:p>
    <w:p w14:paraId="4B724FB2" w14:textId="77777777" w:rsidR="00F021D9" w:rsidRDefault="00F021D9" w:rsidP="00C53475">
      <w:pPr>
        <w:spacing w:after="0"/>
        <w:rPr>
          <w:sz w:val="22"/>
          <w:szCs w:val="22"/>
        </w:rPr>
      </w:pPr>
    </w:p>
    <w:p w14:paraId="6DFE3C0A" w14:textId="1FA23CEA" w:rsidR="00634169" w:rsidRDefault="00634169" w:rsidP="00C53475">
      <w:p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In this experiment we will be comparing different solid fuels.</w:t>
      </w:r>
      <w:r>
        <w:rPr>
          <w:sz w:val="22"/>
          <w:szCs w:val="22"/>
        </w:rPr>
        <w:t xml:space="preserve">  Solid fuels are easily stored and they are easy to handle. </w:t>
      </w:r>
      <w:r w:rsidR="00417648">
        <w:rPr>
          <w:sz w:val="22"/>
          <w:szCs w:val="22"/>
        </w:rPr>
        <w:t>We will compare the other factors to come to a conclusion about which fuel is best.</w:t>
      </w:r>
    </w:p>
    <w:bookmarkEnd w:id="0"/>
    <w:p w14:paraId="3E78EFEC" w14:textId="77777777" w:rsidR="00634169" w:rsidRPr="00634169" w:rsidRDefault="00634169" w:rsidP="00C53475">
      <w:pPr>
        <w:spacing w:after="0"/>
        <w:rPr>
          <w:sz w:val="22"/>
          <w:szCs w:val="22"/>
        </w:rPr>
      </w:pPr>
    </w:p>
    <w:p w14:paraId="0F6BD3F6" w14:textId="5C52C28B" w:rsidR="00C53475" w:rsidRPr="00C93414" w:rsidRDefault="00C53475" w:rsidP="00C53475">
      <w:pPr>
        <w:spacing w:after="0"/>
        <w:rPr>
          <w:b/>
          <w:sz w:val="22"/>
          <w:szCs w:val="22"/>
        </w:rPr>
      </w:pPr>
      <w:r w:rsidRPr="00C93414">
        <w:rPr>
          <w:b/>
          <w:sz w:val="22"/>
          <w:szCs w:val="22"/>
        </w:rPr>
        <w:t>Fuel substance</w:t>
      </w:r>
    </w:p>
    <w:p w14:paraId="0E0F7E3C" w14:textId="77777777" w:rsidR="00C53475" w:rsidRPr="00C93414" w:rsidRDefault="00C53475" w:rsidP="00C53475">
      <w:pPr>
        <w:spacing w:after="0"/>
        <w:rPr>
          <w:b/>
          <w:sz w:val="22"/>
          <w:szCs w:val="22"/>
        </w:rPr>
      </w:pPr>
    </w:p>
    <w:p w14:paraId="36AF3F69" w14:textId="77777777" w:rsidR="00C53475" w:rsidRPr="00C93414" w:rsidRDefault="00C53475" w:rsidP="00C53475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One quarter of a firelighter</w:t>
      </w:r>
    </w:p>
    <w:p w14:paraId="7C207E13" w14:textId="77777777" w:rsidR="00C53475" w:rsidRPr="00C93414" w:rsidRDefault="00C53475" w:rsidP="00C53475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Two long wooden splints, broken into small pieces</w:t>
      </w:r>
    </w:p>
    <w:p w14:paraId="0591A46E" w14:textId="77777777" w:rsidR="00C53475" w:rsidRPr="00C93414" w:rsidRDefault="00C53475" w:rsidP="00C53475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One quarter of an A4 piece of scrap paper</w:t>
      </w:r>
    </w:p>
    <w:p w14:paraId="3F5DB773" w14:textId="77777777" w:rsidR="00C53475" w:rsidRPr="00C93414" w:rsidRDefault="00C53475" w:rsidP="00C53475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A pinch of wax beads</w:t>
      </w:r>
    </w:p>
    <w:p w14:paraId="21B706E9" w14:textId="20EBE8E8" w:rsidR="00C011C9" w:rsidRPr="00C93414" w:rsidRDefault="00C011C9" w:rsidP="00EA3691">
      <w:pPr>
        <w:spacing w:after="0"/>
        <w:rPr>
          <w:sz w:val="22"/>
          <w:szCs w:val="22"/>
        </w:rPr>
      </w:pPr>
    </w:p>
    <w:p w14:paraId="618C3C5A" w14:textId="384D96D4" w:rsidR="00C53475" w:rsidRPr="00C93414" w:rsidRDefault="00C53475" w:rsidP="00C53475">
      <w:pPr>
        <w:spacing w:after="0"/>
        <w:rPr>
          <w:b/>
          <w:sz w:val="22"/>
          <w:szCs w:val="22"/>
        </w:rPr>
      </w:pPr>
      <w:r w:rsidRPr="00C93414">
        <w:rPr>
          <w:b/>
          <w:sz w:val="22"/>
          <w:szCs w:val="22"/>
        </w:rPr>
        <w:t>Apparatus</w:t>
      </w:r>
    </w:p>
    <w:p w14:paraId="5EFB8E99" w14:textId="77777777" w:rsidR="00C53475" w:rsidRPr="00C93414" w:rsidRDefault="00C53475" w:rsidP="00C53475">
      <w:pPr>
        <w:spacing w:after="0"/>
        <w:rPr>
          <w:b/>
          <w:sz w:val="22"/>
          <w:szCs w:val="22"/>
        </w:rPr>
      </w:pPr>
    </w:p>
    <w:p w14:paraId="5BF42049" w14:textId="77777777" w:rsidR="00C53475" w:rsidRPr="00C93414" w:rsidRDefault="00C53475" w:rsidP="00C53475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Metal dish</w:t>
      </w:r>
    </w:p>
    <w:p w14:paraId="3F877752" w14:textId="77777777" w:rsidR="00C53475" w:rsidRPr="00C93414" w:rsidRDefault="00C53475" w:rsidP="00C53475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Heatproof mat</w:t>
      </w:r>
    </w:p>
    <w:p w14:paraId="4AF966B8" w14:textId="77777777" w:rsidR="00C53475" w:rsidRPr="00C93414" w:rsidRDefault="00C53475" w:rsidP="00C53475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Bunsen burner</w:t>
      </w:r>
    </w:p>
    <w:p w14:paraId="5CE68A31" w14:textId="77777777" w:rsidR="00C53475" w:rsidRPr="00C93414" w:rsidRDefault="00C53475" w:rsidP="00C53475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Access to a top pan balance</w:t>
      </w:r>
    </w:p>
    <w:p w14:paraId="1350627B" w14:textId="77777777" w:rsidR="00C53475" w:rsidRPr="00C93414" w:rsidRDefault="00C53475" w:rsidP="00C53475">
      <w:pPr>
        <w:numPr>
          <w:ilvl w:val="0"/>
          <w:numId w:val="27"/>
        </w:numPr>
        <w:spacing w:after="0"/>
        <w:rPr>
          <w:b/>
          <w:sz w:val="22"/>
          <w:szCs w:val="22"/>
        </w:rPr>
      </w:pPr>
      <w:r w:rsidRPr="00C93414">
        <w:rPr>
          <w:sz w:val="22"/>
          <w:szCs w:val="22"/>
        </w:rPr>
        <w:t>Timer</w:t>
      </w:r>
    </w:p>
    <w:p w14:paraId="1552CC59" w14:textId="57F66287" w:rsidR="006901B3" w:rsidRPr="00C93414" w:rsidRDefault="006901B3" w:rsidP="00EA3691">
      <w:pPr>
        <w:spacing w:after="0"/>
        <w:rPr>
          <w:sz w:val="22"/>
          <w:szCs w:val="22"/>
        </w:rPr>
      </w:pPr>
    </w:p>
    <w:p w14:paraId="2809E617" w14:textId="239A3CB5" w:rsidR="00C53475" w:rsidRPr="00C93414" w:rsidRDefault="00C53475" w:rsidP="00C53475">
      <w:pPr>
        <w:spacing w:after="0"/>
        <w:rPr>
          <w:b/>
          <w:sz w:val="22"/>
          <w:szCs w:val="22"/>
        </w:rPr>
      </w:pPr>
      <w:r w:rsidRPr="00C93414">
        <w:rPr>
          <w:b/>
          <w:sz w:val="22"/>
          <w:szCs w:val="22"/>
        </w:rPr>
        <w:t>Method</w:t>
      </w:r>
    </w:p>
    <w:p w14:paraId="6F17A239" w14:textId="77777777" w:rsidR="00C53475" w:rsidRPr="00C93414" w:rsidRDefault="00C53475" w:rsidP="00C53475">
      <w:pPr>
        <w:spacing w:after="0"/>
        <w:rPr>
          <w:b/>
          <w:sz w:val="22"/>
          <w:szCs w:val="22"/>
        </w:rPr>
      </w:pPr>
    </w:p>
    <w:p w14:paraId="1ECCCA9D" w14:textId="77777777" w:rsidR="00C53475" w:rsidRPr="00C93414" w:rsidRDefault="00C53475" w:rsidP="00C53475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 xml:space="preserve">Put the metal dish on top of the heatproof mat.  </w:t>
      </w:r>
    </w:p>
    <w:p w14:paraId="31859CBD" w14:textId="77777777" w:rsidR="00C53475" w:rsidRPr="00C93414" w:rsidRDefault="00C53475" w:rsidP="00C53475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Weigh the substance and then place it into the metal dish.</w:t>
      </w:r>
    </w:p>
    <w:p w14:paraId="6DDABEDF" w14:textId="77777777" w:rsidR="00C53475" w:rsidRPr="00C93414" w:rsidRDefault="00C53475" w:rsidP="00C53475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Light the fuel using a Bunsen burner and start the timer.</w:t>
      </w:r>
    </w:p>
    <w:p w14:paraId="7BD96466" w14:textId="77777777" w:rsidR="00C53475" w:rsidRPr="00C93414" w:rsidRDefault="00C53475" w:rsidP="00C53475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C93414">
        <w:rPr>
          <w:sz w:val="22"/>
          <w:szCs w:val="22"/>
        </w:rPr>
        <w:t>Stop the timer when the fuel is completely consumed and the flame goes out.</w:t>
      </w:r>
    </w:p>
    <w:p w14:paraId="5DED92C4" w14:textId="77777777" w:rsidR="00C53475" w:rsidRPr="00C53475" w:rsidRDefault="00C53475" w:rsidP="00C53475">
      <w:pPr>
        <w:spacing w:after="0"/>
      </w:pPr>
    </w:p>
    <w:p w14:paraId="4DFBE3AE" w14:textId="77777777" w:rsidR="00885FC7" w:rsidRDefault="00885FC7" w:rsidP="00C53475">
      <w:pPr>
        <w:spacing w:after="0"/>
        <w:rPr>
          <w:b/>
        </w:rPr>
      </w:pPr>
    </w:p>
    <w:p w14:paraId="6BEFC6E0" w14:textId="77777777" w:rsidR="00885FC7" w:rsidRDefault="00885FC7" w:rsidP="00C53475">
      <w:pPr>
        <w:spacing w:after="0"/>
        <w:rPr>
          <w:b/>
        </w:rPr>
      </w:pPr>
    </w:p>
    <w:p w14:paraId="0AE5B8D8" w14:textId="77777777" w:rsidR="00885FC7" w:rsidRDefault="00885FC7" w:rsidP="00C53475">
      <w:pPr>
        <w:spacing w:after="0"/>
        <w:rPr>
          <w:b/>
        </w:rPr>
      </w:pPr>
    </w:p>
    <w:p w14:paraId="6D553FD6" w14:textId="77777777" w:rsidR="00885FC7" w:rsidRDefault="00885FC7" w:rsidP="00C53475">
      <w:pPr>
        <w:spacing w:after="0"/>
        <w:rPr>
          <w:b/>
        </w:rPr>
      </w:pPr>
    </w:p>
    <w:p w14:paraId="40261050" w14:textId="77777777" w:rsidR="00885FC7" w:rsidRDefault="00885FC7" w:rsidP="00C53475">
      <w:pPr>
        <w:spacing w:after="0"/>
        <w:rPr>
          <w:b/>
        </w:rPr>
      </w:pPr>
    </w:p>
    <w:p w14:paraId="36C875F3" w14:textId="77777777" w:rsidR="00885FC7" w:rsidRDefault="00885FC7" w:rsidP="00C53475">
      <w:pPr>
        <w:spacing w:after="0"/>
        <w:rPr>
          <w:b/>
        </w:rPr>
      </w:pPr>
    </w:p>
    <w:p w14:paraId="4A9A25C9" w14:textId="77777777" w:rsidR="00885FC7" w:rsidRDefault="00885FC7" w:rsidP="00C53475">
      <w:pPr>
        <w:spacing w:after="0"/>
        <w:rPr>
          <w:b/>
        </w:rPr>
      </w:pPr>
    </w:p>
    <w:p w14:paraId="7E2450D3" w14:textId="544A89ED" w:rsidR="00C53475" w:rsidRPr="00C53475" w:rsidRDefault="00C53475" w:rsidP="00C53475">
      <w:pPr>
        <w:spacing w:after="0"/>
        <w:rPr>
          <w:b/>
        </w:rPr>
      </w:pPr>
      <w:r w:rsidRPr="00C53475">
        <w:rPr>
          <w:b/>
        </w:rPr>
        <w:t>Results table</w:t>
      </w:r>
    </w:p>
    <w:tbl>
      <w:tblPr>
        <w:tblpPr w:leftFromText="180" w:rightFromText="180" w:vertAnchor="text" w:horzAnchor="margin" w:tblpY="84"/>
        <w:tblW w:w="904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0"/>
        <w:gridCol w:w="1655"/>
        <w:gridCol w:w="2160"/>
        <w:gridCol w:w="1339"/>
        <w:gridCol w:w="2491"/>
      </w:tblGrid>
      <w:tr w:rsidR="00C53475" w:rsidRPr="00C53475" w14:paraId="10B94F7B" w14:textId="77777777" w:rsidTr="00885FC7">
        <w:trPr>
          <w:trHeight w:val="582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523DB6DF" w14:textId="77777777" w:rsidR="00C53475" w:rsidRPr="00C53475" w:rsidRDefault="00C53475" w:rsidP="00C53475">
            <w:pPr>
              <w:spacing w:after="0"/>
              <w:rPr>
                <w:b/>
              </w:rPr>
            </w:pPr>
            <w:r w:rsidRPr="00C53475">
              <w:rPr>
                <w:b/>
                <w:bCs/>
              </w:rPr>
              <w:t>Fuel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249D6B8B" w14:textId="77777777" w:rsidR="00C53475" w:rsidRPr="00C53475" w:rsidRDefault="00C53475" w:rsidP="00C53475">
            <w:pPr>
              <w:spacing w:after="0"/>
              <w:rPr>
                <w:b/>
              </w:rPr>
            </w:pPr>
            <w:r w:rsidRPr="00C53475">
              <w:rPr>
                <w:b/>
                <w:bCs/>
              </w:rPr>
              <w:t>Mass of fuel (g)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463387DE" w14:textId="77777777" w:rsidR="00C53475" w:rsidRPr="00C53475" w:rsidRDefault="00C53475" w:rsidP="00C53475">
            <w:pPr>
              <w:spacing w:after="0"/>
              <w:rPr>
                <w:b/>
              </w:rPr>
            </w:pPr>
            <w:r w:rsidRPr="00C53475">
              <w:rPr>
                <w:b/>
                <w:bCs/>
              </w:rPr>
              <w:t>Ease of lighting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41F0175B" w14:textId="77777777" w:rsidR="00C53475" w:rsidRPr="00C53475" w:rsidRDefault="00C53475" w:rsidP="00C53475">
            <w:pPr>
              <w:spacing w:after="0"/>
              <w:rPr>
                <w:b/>
              </w:rPr>
            </w:pPr>
            <w:r w:rsidRPr="00C53475">
              <w:rPr>
                <w:b/>
                <w:bCs/>
              </w:rPr>
              <w:t>Smokiness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32BCD161" w14:textId="77777777" w:rsidR="00C53475" w:rsidRPr="00C53475" w:rsidRDefault="00C53475" w:rsidP="00C53475">
            <w:pPr>
              <w:spacing w:after="0"/>
              <w:rPr>
                <w:b/>
              </w:rPr>
            </w:pPr>
            <w:r w:rsidRPr="00C53475">
              <w:rPr>
                <w:b/>
                <w:bCs/>
              </w:rPr>
              <w:t>Burn time</w:t>
            </w:r>
          </w:p>
        </w:tc>
      </w:tr>
      <w:tr w:rsidR="00C53475" w:rsidRPr="00C53475" w14:paraId="10BA18F7" w14:textId="77777777" w:rsidTr="00885FC7">
        <w:trPr>
          <w:trHeight w:val="1018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302AE1F9" w14:textId="77777777" w:rsidR="00C53475" w:rsidRPr="00C53475" w:rsidRDefault="00C53475" w:rsidP="00C53475">
            <w:pPr>
              <w:spacing w:after="0"/>
            </w:pPr>
            <w:r w:rsidRPr="00C53475">
              <w:t>Fire lighter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782BE173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4674EA5E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0E500014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2E1FB045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</w:tr>
      <w:tr w:rsidR="00C53475" w:rsidRPr="00C53475" w14:paraId="0AAD2E88" w14:textId="77777777" w:rsidTr="00885FC7">
        <w:trPr>
          <w:trHeight w:val="1018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4E5C83A9" w14:textId="77777777" w:rsidR="00C53475" w:rsidRPr="00C53475" w:rsidRDefault="00C53475" w:rsidP="00C53475">
            <w:pPr>
              <w:spacing w:after="0"/>
            </w:pPr>
            <w:r w:rsidRPr="00C53475">
              <w:t>Wood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4E33D29F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3523EAA4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3DED56FE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552F17B4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</w:tr>
      <w:tr w:rsidR="00C53475" w:rsidRPr="00C53475" w14:paraId="61467CA0" w14:textId="77777777" w:rsidTr="00885FC7">
        <w:trPr>
          <w:trHeight w:val="1018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30DEDE97" w14:textId="77777777" w:rsidR="00C53475" w:rsidRPr="00C53475" w:rsidRDefault="00C53475" w:rsidP="00C53475">
            <w:pPr>
              <w:spacing w:after="0"/>
            </w:pPr>
            <w:r w:rsidRPr="00C53475">
              <w:t>Paper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710E0FC2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437F7B90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0CB42758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76562140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</w:tr>
      <w:tr w:rsidR="00C53475" w:rsidRPr="00C53475" w14:paraId="793964D3" w14:textId="77777777" w:rsidTr="00885FC7">
        <w:trPr>
          <w:trHeight w:val="1018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6827E103" w14:textId="77777777" w:rsidR="00C53475" w:rsidRPr="00C53475" w:rsidRDefault="00C53475" w:rsidP="00C53475">
            <w:pPr>
              <w:spacing w:after="0"/>
            </w:pPr>
            <w:r w:rsidRPr="00C53475">
              <w:t>Wax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5CF01697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019F8B48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60AEF643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1" w:type="dxa"/>
              <w:bottom w:w="72" w:type="dxa"/>
              <w:right w:w="141" w:type="dxa"/>
            </w:tcMar>
            <w:hideMark/>
          </w:tcPr>
          <w:p w14:paraId="332A4F85" w14:textId="77777777" w:rsidR="00C53475" w:rsidRPr="00C53475" w:rsidRDefault="00C53475" w:rsidP="00C53475">
            <w:pPr>
              <w:spacing w:after="0"/>
              <w:rPr>
                <w:b/>
              </w:rPr>
            </w:pPr>
          </w:p>
        </w:tc>
      </w:tr>
    </w:tbl>
    <w:p w14:paraId="222ECBCE" w14:textId="1D2A5FE4" w:rsidR="006901B3" w:rsidRDefault="006901B3" w:rsidP="00C53475">
      <w:pPr>
        <w:spacing w:after="0"/>
      </w:pPr>
    </w:p>
    <w:p w14:paraId="7DAD6306" w14:textId="45EE2BDE" w:rsidR="00C93414" w:rsidRDefault="00C93414" w:rsidP="00C53475">
      <w:pPr>
        <w:spacing w:after="0"/>
      </w:pPr>
    </w:p>
    <w:p w14:paraId="0D44340E" w14:textId="0FFAF7F1" w:rsidR="00821011" w:rsidRDefault="00C93414" w:rsidP="00821011">
      <w:pPr>
        <w:tabs>
          <w:tab w:val="right" w:leader="dot" w:pos="10206"/>
        </w:tabs>
        <w:spacing w:after="0" w:line="360" w:lineRule="auto"/>
        <w:rPr>
          <w:rFonts w:ascii="Cambria" w:hAnsi="Cambria"/>
        </w:rPr>
      </w:pPr>
      <w:r w:rsidRPr="00C93414">
        <w:rPr>
          <w:sz w:val="22"/>
          <w:szCs w:val="22"/>
        </w:rPr>
        <w:t>Which is the best fuel?</w:t>
      </w:r>
      <w:r w:rsidR="00821011" w:rsidRPr="00821011">
        <w:rPr>
          <w:rFonts w:ascii="Cambria" w:hAnsi="Cambria"/>
        </w:rPr>
        <w:t xml:space="preserve"> </w:t>
      </w:r>
      <w:r w:rsidR="00821011" w:rsidRPr="009C496C">
        <w:rPr>
          <w:rFonts w:ascii="Cambria" w:hAnsi="Cambria"/>
        </w:rPr>
        <w:tab/>
      </w:r>
    </w:p>
    <w:p w14:paraId="2A068582" w14:textId="77777777" w:rsidR="00821011" w:rsidRPr="009C496C" w:rsidRDefault="00821011" w:rsidP="00821011">
      <w:pPr>
        <w:tabs>
          <w:tab w:val="right" w:leader="dot" w:pos="10206"/>
        </w:tabs>
        <w:spacing w:after="0" w:line="360" w:lineRule="auto"/>
        <w:rPr>
          <w:rFonts w:ascii="Cambria" w:hAnsi="Cambria"/>
        </w:rPr>
      </w:pPr>
    </w:p>
    <w:p w14:paraId="384B9897" w14:textId="28D5FDDC" w:rsidR="00821011" w:rsidRPr="00C93414" w:rsidRDefault="00821011" w:rsidP="00821011">
      <w:pPr>
        <w:spacing w:after="0" w:line="720" w:lineRule="auto"/>
        <w:rPr>
          <w:sz w:val="22"/>
          <w:szCs w:val="22"/>
        </w:rPr>
      </w:pPr>
      <w:r>
        <w:rPr>
          <w:sz w:val="22"/>
          <w:szCs w:val="22"/>
        </w:rPr>
        <w:t>Give reasons for your answer</w:t>
      </w:r>
    </w:p>
    <w:p w14:paraId="34988084" w14:textId="77777777" w:rsidR="00821011" w:rsidRPr="009C496C" w:rsidRDefault="00821011" w:rsidP="00821011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 w:rsidRPr="009C496C">
        <w:rPr>
          <w:rFonts w:ascii="Cambria" w:hAnsi="Cambria"/>
        </w:rPr>
        <w:tab/>
      </w:r>
    </w:p>
    <w:p w14:paraId="598727C9" w14:textId="77777777" w:rsidR="00821011" w:rsidRPr="009C496C" w:rsidRDefault="00821011" w:rsidP="00821011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 w:rsidRPr="009C496C">
        <w:rPr>
          <w:rFonts w:ascii="Cambria" w:hAnsi="Cambria"/>
        </w:rPr>
        <w:tab/>
      </w:r>
    </w:p>
    <w:p w14:paraId="310E3013" w14:textId="77777777" w:rsidR="00821011" w:rsidRPr="009C496C" w:rsidRDefault="00821011" w:rsidP="00821011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 w:rsidRPr="009C496C">
        <w:rPr>
          <w:rFonts w:ascii="Cambria" w:hAnsi="Cambria"/>
        </w:rPr>
        <w:tab/>
      </w:r>
    </w:p>
    <w:p w14:paraId="7A7C629A" w14:textId="6AAAB201" w:rsidR="00C93414" w:rsidRPr="00C93414" w:rsidRDefault="00C93414" w:rsidP="00C93414">
      <w:pPr>
        <w:spacing w:after="0"/>
        <w:rPr>
          <w:sz w:val="22"/>
          <w:szCs w:val="22"/>
        </w:rPr>
      </w:pPr>
    </w:p>
    <w:p w14:paraId="10DF99FF" w14:textId="77777777" w:rsidR="00C93414" w:rsidRPr="00C93414" w:rsidRDefault="00C93414" w:rsidP="00C93414">
      <w:pPr>
        <w:spacing w:after="0"/>
        <w:rPr>
          <w:b/>
          <w:sz w:val="22"/>
          <w:szCs w:val="22"/>
        </w:rPr>
      </w:pPr>
    </w:p>
    <w:p w14:paraId="0B4867E7" w14:textId="76E76ECD" w:rsidR="00821011" w:rsidRPr="00C93414" w:rsidRDefault="00821011" w:rsidP="00821011">
      <w:pPr>
        <w:spacing w:after="0" w:line="720" w:lineRule="auto"/>
        <w:rPr>
          <w:sz w:val="22"/>
          <w:szCs w:val="22"/>
        </w:rPr>
      </w:pPr>
      <w:r>
        <w:rPr>
          <w:sz w:val="22"/>
          <w:szCs w:val="22"/>
        </w:rPr>
        <w:t xml:space="preserve">Why is </w:t>
      </w:r>
      <w:r w:rsidR="00C93414" w:rsidRPr="00C93414">
        <w:rPr>
          <w:sz w:val="22"/>
          <w:szCs w:val="22"/>
        </w:rPr>
        <w:t xml:space="preserve">burn time </w:t>
      </w:r>
      <w:r>
        <w:rPr>
          <w:sz w:val="22"/>
          <w:szCs w:val="22"/>
        </w:rPr>
        <w:t>alone</w:t>
      </w:r>
      <w:r w:rsidR="00C93414" w:rsidRPr="00C934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not an </w:t>
      </w:r>
      <w:r w:rsidR="00C93414" w:rsidRPr="00C93414">
        <w:rPr>
          <w:sz w:val="22"/>
          <w:szCs w:val="22"/>
        </w:rPr>
        <w:t>accurate measure of how good the fuel is?</w:t>
      </w:r>
      <w:r w:rsidRPr="00821011">
        <w:rPr>
          <w:sz w:val="22"/>
          <w:szCs w:val="22"/>
        </w:rPr>
        <w:t xml:space="preserve"> </w:t>
      </w:r>
    </w:p>
    <w:p w14:paraId="73C6B353" w14:textId="77777777" w:rsidR="00821011" w:rsidRPr="009C496C" w:rsidRDefault="00821011" w:rsidP="00821011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 w:rsidRPr="009C496C">
        <w:rPr>
          <w:rFonts w:ascii="Cambria" w:hAnsi="Cambria"/>
        </w:rPr>
        <w:tab/>
      </w:r>
    </w:p>
    <w:p w14:paraId="2147DFBB" w14:textId="4A3FE557" w:rsidR="00C93414" w:rsidRPr="00C93414" w:rsidRDefault="00821011" w:rsidP="00885FC7">
      <w:pPr>
        <w:tabs>
          <w:tab w:val="right" w:leader="dot" w:pos="10206"/>
        </w:tabs>
        <w:spacing w:after="0" w:line="720" w:lineRule="auto"/>
      </w:pPr>
      <w:r w:rsidRPr="009C496C">
        <w:rPr>
          <w:rFonts w:ascii="Cambria" w:hAnsi="Cambria"/>
        </w:rPr>
        <w:tab/>
      </w:r>
    </w:p>
    <w:p w14:paraId="5D5ED79B" w14:textId="77777777" w:rsidR="00C93414" w:rsidRPr="00C93414" w:rsidRDefault="00C93414" w:rsidP="00C93414">
      <w:pPr>
        <w:spacing w:after="0"/>
      </w:pPr>
      <w:r w:rsidRPr="00C93414">
        <w:tab/>
      </w:r>
    </w:p>
    <w:p w14:paraId="1A824AE0" w14:textId="77777777" w:rsidR="00C93414" w:rsidRPr="00C93414" w:rsidRDefault="00C93414" w:rsidP="00C93414">
      <w:pPr>
        <w:spacing w:after="0"/>
      </w:pPr>
      <w:r w:rsidRPr="00C93414">
        <w:tab/>
      </w:r>
      <w:bookmarkStart w:id="1" w:name="_GoBack"/>
      <w:bookmarkEnd w:id="1"/>
    </w:p>
    <w:sectPr w:rsidR="00C93414" w:rsidRPr="00C9341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2F70" w14:textId="77777777" w:rsidR="009615BD" w:rsidRDefault="009615BD" w:rsidP="000D3D40">
      <w:r>
        <w:separator/>
      </w:r>
    </w:p>
  </w:endnote>
  <w:endnote w:type="continuationSeparator" w:id="0">
    <w:p w14:paraId="05E98F79" w14:textId="77777777" w:rsidR="009615BD" w:rsidRDefault="009615B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4FDA3E43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7B93">
      <w:rPr>
        <w:noProof/>
      </w:rPr>
      <w:t>2</w:t>
    </w:r>
    <w:r>
      <w:fldChar w:fldCharType="end"/>
    </w:r>
    <w:r>
      <w:t xml:space="preserve"> of </w:t>
    </w:r>
    <w:r w:rsidR="00DD7B93">
      <w:fldChar w:fldCharType="begin"/>
    </w:r>
    <w:r w:rsidR="00DD7B93">
      <w:instrText xml:space="preserve"> NUMPAGES   \* MERGEFORMAT </w:instrText>
    </w:r>
    <w:r w:rsidR="00DD7B93">
      <w:fldChar w:fldCharType="separate"/>
    </w:r>
    <w:r w:rsidR="00DD7B93">
      <w:rPr>
        <w:noProof/>
      </w:rPr>
      <w:t>2</w:t>
    </w:r>
    <w:r w:rsidR="00DD7B93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  <w:p w14:paraId="0ED3B5DF" w14:textId="77777777" w:rsidR="00261AD5" w:rsidRDefault="00261AD5"/>
  <w:p w14:paraId="5439B7D9" w14:textId="77777777" w:rsidR="00261AD5" w:rsidRDefault="00261A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3EF8306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7B93">
      <w:rPr>
        <w:noProof/>
      </w:rPr>
      <w:t>1</w:t>
    </w:r>
    <w:r>
      <w:fldChar w:fldCharType="end"/>
    </w:r>
    <w:r>
      <w:t xml:space="preserve"> of </w:t>
    </w:r>
    <w:r w:rsidR="00DD7B93">
      <w:fldChar w:fldCharType="begin"/>
    </w:r>
    <w:r w:rsidR="00DD7B93">
      <w:instrText xml:space="preserve"> NUMPAGES   \* MERGEFORMAT </w:instrText>
    </w:r>
    <w:r w:rsidR="00DD7B93">
      <w:fldChar w:fldCharType="separate"/>
    </w:r>
    <w:r w:rsidR="00DD7B93">
      <w:rPr>
        <w:noProof/>
      </w:rPr>
      <w:t>2</w:t>
    </w:r>
    <w:r w:rsidR="00DD7B93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  <w:p w14:paraId="0BDD989D" w14:textId="77777777" w:rsidR="00261AD5" w:rsidRDefault="00261AD5"/>
  <w:p w14:paraId="6EF0BB8A" w14:textId="77777777" w:rsidR="00261AD5" w:rsidRDefault="00261A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95320" w14:textId="77777777" w:rsidR="009615BD" w:rsidRDefault="009615BD" w:rsidP="000D3D40">
      <w:r>
        <w:separator/>
      </w:r>
    </w:p>
  </w:footnote>
  <w:footnote w:type="continuationSeparator" w:id="0">
    <w:p w14:paraId="1DC3031B" w14:textId="77777777" w:rsidR="009615BD" w:rsidRDefault="009615B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B1E23C" w14:textId="77777777" w:rsidR="00261AD5" w:rsidRDefault="00261AD5"/>
  <w:p w14:paraId="44E73537" w14:textId="77777777" w:rsidR="00261AD5" w:rsidRDefault="00261A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1509"/>
    <w:multiLevelType w:val="hybridMultilevel"/>
    <w:tmpl w:val="43EE5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97C29"/>
    <w:multiLevelType w:val="hybridMultilevel"/>
    <w:tmpl w:val="2C1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3418A"/>
    <w:multiLevelType w:val="hybridMultilevel"/>
    <w:tmpl w:val="F4282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31388"/>
    <w:multiLevelType w:val="multilevel"/>
    <w:tmpl w:val="EE66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67756E"/>
    <w:multiLevelType w:val="hybridMultilevel"/>
    <w:tmpl w:val="EE220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E7086"/>
    <w:multiLevelType w:val="hybridMultilevel"/>
    <w:tmpl w:val="21004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13"/>
  </w:num>
  <w:num w:numId="17">
    <w:abstractNumId w:val="25"/>
  </w:num>
  <w:num w:numId="18">
    <w:abstractNumId w:val="17"/>
  </w:num>
  <w:num w:numId="19">
    <w:abstractNumId w:val="27"/>
  </w:num>
  <w:num w:numId="20">
    <w:abstractNumId w:val="23"/>
  </w:num>
  <w:num w:numId="21">
    <w:abstractNumId w:val="26"/>
  </w:num>
  <w:num w:numId="22">
    <w:abstractNumId w:val="20"/>
  </w:num>
  <w:num w:numId="23">
    <w:abstractNumId w:val="29"/>
  </w:num>
  <w:num w:numId="24">
    <w:abstractNumId w:val="12"/>
  </w:num>
  <w:num w:numId="25">
    <w:abstractNumId w:val="14"/>
  </w:num>
  <w:num w:numId="26">
    <w:abstractNumId w:val="24"/>
  </w:num>
  <w:num w:numId="27">
    <w:abstractNumId w:val="10"/>
  </w:num>
  <w:num w:numId="28">
    <w:abstractNumId w:val="22"/>
  </w:num>
  <w:num w:numId="29">
    <w:abstractNumId w:val="2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55B9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61AD5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17648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E89"/>
    <w:rsid w:val="004B2F65"/>
    <w:rsid w:val="004C6CC9"/>
    <w:rsid w:val="004F6077"/>
    <w:rsid w:val="005065D4"/>
    <w:rsid w:val="00506C90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84FFE"/>
    <w:rsid w:val="00596ABE"/>
    <w:rsid w:val="005A7495"/>
    <w:rsid w:val="005C02D2"/>
    <w:rsid w:val="005D668B"/>
    <w:rsid w:val="005F1C11"/>
    <w:rsid w:val="005F451D"/>
    <w:rsid w:val="00613760"/>
    <w:rsid w:val="00634169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901B3"/>
    <w:rsid w:val="006D3E26"/>
    <w:rsid w:val="006F6F73"/>
    <w:rsid w:val="00702F5A"/>
    <w:rsid w:val="00707FDD"/>
    <w:rsid w:val="007142E1"/>
    <w:rsid w:val="00714A35"/>
    <w:rsid w:val="00723F23"/>
    <w:rsid w:val="007358E3"/>
    <w:rsid w:val="007459B7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80030A"/>
    <w:rsid w:val="00805114"/>
    <w:rsid w:val="00807F8B"/>
    <w:rsid w:val="0081005F"/>
    <w:rsid w:val="008141FB"/>
    <w:rsid w:val="00815E3B"/>
    <w:rsid w:val="00821011"/>
    <w:rsid w:val="00832803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A40"/>
    <w:rsid w:val="00885B52"/>
    <w:rsid w:val="00885FC7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615BD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1756F"/>
    <w:rsid w:val="00B20041"/>
    <w:rsid w:val="00B57B2A"/>
    <w:rsid w:val="00B718A6"/>
    <w:rsid w:val="00B76B03"/>
    <w:rsid w:val="00BA512C"/>
    <w:rsid w:val="00BB1F22"/>
    <w:rsid w:val="00C011C9"/>
    <w:rsid w:val="00C01F68"/>
    <w:rsid w:val="00C17DDC"/>
    <w:rsid w:val="00C222CB"/>
    <w:rsid w:val="00C3053B"/>
    <w:rsid w:val="00C53475"/>
    <w:rsid w:val="00C74010"/>
    <w:rsid w:val="00C93414"/>
    <w:rsid w:val="00CA6ED6"/>
    <w:rsid w:val="00CC3393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A7729"/>
    <w:rsid w:val="00DC30F3"/>
    <w:rsid w:val="00DC5D89"/>
    <w:rsid w:val="00DC64EC"/>
    <w:rsid w:val="00DD6FD3"/>
    <w:rsid w:val="00DD7B9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6DC"/>
    <w:rsid w:val="00F021D9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204B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318-airpoll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fuel experiment 11-14</vt:lpstr>
    </vt:vector>
  </TitlesOfParts>
  <Company>Royal Society of Chemistry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fuel experiment a 11-14</dc:title>
  <dc:subject>Demonstration silver acetylide as a contact explosive</dc:subject>
  <dc:creator>Royal Society of Chemistry</dc:creator>
  <dc:description>To accompany the article 'Taking care of the air', from Education in Chemistry, May 2018.</dc:description>
  <cp:lastModifiedBy>Luke Blackburn</cp:lastModifiedBy>
  <cp:revision>6</cp:revision>
  <dcterms:created xsi:type="dcterms:W3CDTF">2018-03-05T14:50:00Z</dcterms:created>
  <dcterms:modified xsi:type="dcterms:W3CDTF">2018-03-15T10:39:00Z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