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4B137" w14:textId="4C7E3E34" w:rsidR="00360925" w:rsidRPr="00F4589C" w:rsidRDefault="00F4589C" w:rsidP="00D84534">
      <w:pPr>
        <w:pStyle w:val="Heading1"/>
        <w:spacing w:after="0"/>
        <w:rPr>
          <w:rFonts w:cs="Arial"/>
        </w:rPr>
      </w:pPr>
      <w:r w:rsidRPr="00F4589C">
        <w:rPr>
          <w:rFonts w:cs="Arial"/>
        </w:rPr>
        <w:t>The genie in the bottle</w:t>
      </w:r>
    </w:p>
    <w:p w14:paraId="2F7E25DD" w14:textId="5E6A19B8" w:rsidR="00360925" w:rsidRPr="00F4589C" w:rsidRDefault="00360925" w:rsidP="00D84534">
      <w:pPr>
        <w:pStyle w:val="Leadparagraph"/>
        <w:spacing w:after="0"/>
        <w:rPr>
          <w:rStyle w:val="Hyperlink"/>
          <w:b w:val="0"/>
        </w:rPr>
      </w:pPr>
      <w:r w:rsidRPr="00F4589C">
        <w:rPr>
          <w:rStyle w:val="LeadparagraphChar"/>
          <w:b/>
          <w:i/>
        </w:rPr>
        <w:t>Education in Chemistry</w:t>
      </w:r>
      <w:r w:rsidRPr="00F4589C">
        <w:rPr>
          <w:rStyle w:val="LeadparagraphChar"/>
          <w:b/>
        </w:rPr>
        <w:br/>
      </w:r>
      <w:r w:rsidR="00F4589C" w:rsidRPr="00F4589C">
        <w:rPr>
          <w:rStyle w:val="LeadparagraphChar"/>
        </w:rPr>
        <w:t>July</w:t>
      </w:r>
      <w:r w:rsidRPr="00F4589C">
        <w:rPr>
          <w:rStyle w:val="LeadparagraphChar"/>
        </w:rPr>
        <w:t xml:space="preserve"> 2018</w:t>
      </w:r>
      <w:r w:rsidRPr="00F4589C">
        <w:rPr>
          <w:rStyle w:val="LeadparagraphChar"/>
          <w:b/>
        </w:rPr>
        <w:br/>
      </w:r>
      <w:hyperlink r:id="rId10" w:history="1">
        <w:r w:rsidR="00F4589C" w:rsidRPr="00F4589C">
          <w:rPr>
            <w:rStyle w:val="Hyperlink"/>
            <w:b w:val="0"/>
          </w:rPr>
          <w:t>rsc.li/2tbhUVc</w:t>
        </w:r>
      </w:hyperlink>
      <w:r w:rsidR="00F4589C" w:rsidRPr="00F4589C">
        <w:rPr>
          <w:b w:val="0"/>
        </w:rPr>
        <w:t xml:space="preserve"> </w:t>
      </w:r>
    </w:p>
    <w:p w14:paraId="539E8631" w14:textId="77777777" w:rsidR="00D84534" w:rsidRPr="00F4589C" w:rsidRDefault="00D84534" w:rsidP="00D84534"/>
    <w:p w14:paraId="6875E3FC" w14:textId="062DDCBE" w:rsidR="00360925" w:rsidRPr="00F4589C" w:rsidRDefault="00360925" w:rsidP="00360925">
      <w:pPr>
        <w:pStyle w:val="Heading1"/>
        <w:rPr>
          <w:rFonts w:cs="Arial"/>
          <w:sz w:val="26"/>
          <w:szCs w:val="26"/>
        </w:rPr>
      </w:pPr>
      <w:r w:rsidRPr="00F4589C">
        <w:rPr>
          <w:rFonts w:cs="Arial"/>
          <w:sz w:val="26"/>
          <w:szCs w:val="26"/>
        </w:rPr>
        <w:t>Technician notes</w:t>
      </w:r>
    </w:p>
    <w:p w14:paraId="4CCCD10B" w14:textId="0632DDDC" w:rsidR="00360925" w:rsidRPr="00F4589C" w:rsidRDefault="00360925" w:rsidP="00360925">
      <w:pPr>
        <w:pStyle w:val="Heading3"/>
        <w:rPr>
          <w:color w:val="auto"/>
        </w:rPr>
      </w:pPr>
      <w:r w:rsidRPr="00F4589C">
        <w:t>Kit</w:t>
      </w:r>
    </w:p>
    <w:p w14:paraId="5AE7E9A3" w14:textId="77777777" w:rsidR="00F4589C" w:rsidRPr="00F4589C" w:rsidRDefault="00F4589C" w:rsidP="00F4589C">
      <w:pPr>
        <w:pStyle w:val="ListParagraph"/>
        <w:keepLines w:val="0"/>
        <w:numPr>
          <w:ilvl w:val="0"/>
          <w:numId w:val="21"/>
        </w:numPr>
        <w:spacing w:before="100" w:beforeAutospacing="1" w:after="0"/>
      </w:pPr>
      <w:r w:rsidRPr="00F4589C">
        <w:t>25 cm</w:t>
      </w:r>
      <w:r w:rsidRPr="0080724C">
        <w:rPr>
          <w:vertAlign w:val="superscript"/>
        </w:rPr>
        <w:t>3</w:t>
      </w:r>
      <w:r w:rsidRPr="00F4589C">
        <w:t xml:space="preserve"> hydrogen peroxide, 100 </w:t>
      </w:r>
      <w:proofErr w:type="spellStart"/>
      <w:r w:rsidRPr="00F4589C">
        <w:t>vol</w:t>
      </w:r>
      <w:proofErr w:type="spellEnd"/>
      <w:r w:rsidRPr="00F4589C">
        <w:t xml:space="preserve"> (30%), (harmful, risk of serious damage to eyes)</w:t>
      </w:r>
    </w:p>
    <w:p w14:paraId="0DFAF32D" w14:textId="77777777" w:rsidR="00F4589C" w:rsidRPr="00F4589C" w:rsidRDefault="00F4589C" w:rsidP="00F4589C">
      <w:pPr>
        <w:pStyle w:val="ListParagraph"/>
        <w:keepLines w:val="0"/>
        <w:numPr>
          <w:ilvl w:val="0"/>
          <w:numId w:val="21"/>
        </w:numPr>
        <w:spacing w:before="100" w:beforeAutospacing="1" w:after="0"/>
      </w:pPr>
      <w:r w:rsidRPr="00F4589C">
        <w:t>c.0.5 g manganese(IV) oxide (harmful by inhalation and ingestion)</w:t>
      </w:r>
    </w:p>
    <w:p w14:paraId="6F4FBA78" w14:textId="3641798F" w:rsidR="00F4589C" w:rsidRPr="00F4589C" w:rsidRDefault="00F4589C" w:rsidP="00F4589C">
      <w:pPr>
        <w:pStyle w:val="ListParagraph"/>
        <w:keepLines w:val="0"/>
        <w:numPr>
          <w:ilvl w:val="0"/>
          <w:numId w:val="21"/>
        </w:numPr>
        <w:spacing w:before="100" w:beforeAutospacing="1" w:after="0"/>
      </w:pPr>
      <w:r w:rsidRPr="00F4589C">
        <w:t>250 cm</w:t>
      </w:r>
      <w:r w:rsidRPr="0080724C">
        <w:rPr>
          <w:vertAlign w:val="superscript"/>
        </w:rPr>
        <w:t>3</w:t>
      </w:r>
      <w:r w:rsidRPr="00F4589C">
        <w:t> borosilicate conical f</w:t>
      </w:r>
      <w:r w:rsidR="00023F83">
        <w:t>lask with a narrow neck (30–40 m</w:t>
      </w:r>
      <w:bookmarkStart w:id="0" w:name="_GoBack"/>
      <w:bookmarkEnd w:id="0"/>
      <w:r w:rsidRPr="00F4589C">
        <w:t>m), or poly(ethylene terephthalate) (PET) carbonated drinks bottle</w:t>
      </w:r>
    </w:p>
    <w:p w14:paraId="60B1857A" w14:textId="77777777" w:rsidR="00F4589C" w:rsidRPr="00F4589C" w:rsidRDefault="00F4589C" w:rsidP="00F4589C">
      <w:pPr>
        <w:pStyle w:val="ListParagraph"/>
        <w:keepLines w:val="0"/>
        <w:numPr>
          <w:ilvl w:val="0"/>
          <w:numId w:val="21"/>
        </w:numPr>
        <w:spacing w:before="100" w:beforeAutospacing="1" w:after="0"/>
      </w:pPr>
      <w:r w:rsidRPr="00F4589C">
        <w:t>Bung with a hole bored through it</w:t>
      </w:r>
    </w:p>
    <w:p w14:paraId="155A8B24" w14:textId="77777777" w:rsidR="00F4589C" w:rsidRPr="00F4589C" w:rsidRDefault="00F4589C" w:rsidP="00F4589C">
      <w:pPr>
        <w:pStyle w:val="ListParagraph"/>
        <w:keepLines w:val="0"/>
        <w:numPr>
          <w:ilvl w:val="0"/>
          <w:numId w:val="21"/>
        </w:numPr>
        <w:spacing w:before="100" w:beforeAutospacing="1" w:after="0"/>
      </w:pPr>
      <w:r w:rsidRPr="00F4589C">
        <w:t>Filter funnel</w:t>
      </w:r>
    </w:p>
    <w:p w14:paraId="4D98942E" w14:textId="77777777" w:rsidR="00F4589C" w:rsidRPr="00F4589C" w:rsidRDefault="00F4589C" w:rsidP="00F4589C">
      <w:pPr>
        <w:pStyle w:val="ListParagraph"/>
        <w:keepLines w:val="0"/>
        <w:numPr>
          <w:ilvl w:val="0"/>
          <w:numId w:val="21"/>
        </w:numPr>
        <w:spacing w:before="100" w:beforeAutospacing="1" w:after="0"/>
      </w:pPr>
      <w:r w:rsidRPr="00F4589C">
        <w:t>Tissue paper</w:t>
      </w:r>
    </w:p>
    <w:p w14:paraId="71799A13" w14:textId="77777777" w:rsidR="00F4589C" w:rsidRPr="00F4589C" w:rsidRDefault="00F4589C" w:rsidP="00F4589C">
      <w:pPr>
        <w:pStyle w:val="ListParagraph"/>
        <w:keepLines w:val="0"/>
        <w:numPr>
          <w:ilvl w:val="0"/>
          <w:numId w:val="21"/>
        </w:numPr>
        <w:spacing w:before="100" w:beforeAutospacing="1" w:after="0"/>
      </w:pPr>
      <w:r w:rsidRPr="00F4589C">
        <w:t>Cotton thread</w:t>
      </w:r>
    </w:p>
    <w:p w14:paraId="04D80E6A" w14:textId="77777777" w:rsidR="00F4589C" w:rsidRPr="00F4589C" w:rsidRDefault="00F4589C" w:rsidP="00F4589C">
      <w:pPr>
        <w:keepLines w:val="0"/>
        <w:spacing w:after="120"/>
      </w:pPr>
    </w:p>
    <w:p w14:paraId="65F2FD87" w14:textId="77777777" w:rsidR="00360925" w:rsidRPr="00F4589C" w:rsidRDefault="00360925" w:rsidP="00360925">
      <w:pPr>
        <w:pStyle w:val="Heading3"/>
      </w:pPr>
      <w:r w:rsidRPr="00F4589C">
        <w:t>Preparation</w:t>
      </w:r>
    </w:p>
    <w:p w14:paraId="1EA44F5A" w14:textId="43B1EFDE" w:rsidR="00F4589C" w:rsidRPr="00F4589C" w:rsidRDefault="00F4589C" w:rsidP="00F4589C">
      <w:pPr>
        <w:pStyle w:val="NormalWeb"/>
        <w:spacing w:before="0" w:beforeAutospacing="0" w:after="0" w:afterAutospacing="0"/>
        <w:rPr>
          <w:rFonts w:ascii="Arial" w:eastAsiaTheme="minorHAnsi" w:hAnsi="Arial" w:cs="Arial"/>
          <w:sz w:val="20"/>
          <w:szCs w:val="20"/>
          <w:lang w:eastAsia="en-US"/>
        </w:rPr>
      </w:pPr>
      <w:r w:rsidRPr="00F4589C">
        <w:rPr>
          <w:rFonts w:ascii="Arial" w:eastAsiaTheme="minorHAnsi" w:hAnsi="Arial" w:cs="Arial"/>
          <w:sz w:val="20"/>
          <w:szCs w:val="20"/>
          <w:lang w:eastAsia="en-US"/>
        </w:rPr>
        <w:t>Work in a well-ventilated room, wearing splash-proof goggles and gloves. Using a filter funnel, pour 25 cm</w:t>
      </w:r>
      <w:r w:rsidRPr="0080724C">
        <w:rPr>
          <w:rFonts w:ascii="Arial" w:eastAsiaTheme="minorHAnsi" w:hAnsi="Arial" w:cs="Arial"/>
          <w:sz w:val="20"/>
          <w:szCs w:val="20"/>
          <w:vertAlign w:val="superscript"/>
          <w:lang w:eastAsia="en-US"/>
        </w:rPr>
        <w:t>3</w:t>
      </w:r>
      <w:r w:rsidRPr="00F4589C">
        <w:rPr>
          <w:rFonts w:ascii="Arial" w:eastAsiaTheme="minorHAnsi" w:hAnsi="Arial" w:cs="Arial"/>
          <w:sz w:val="20"/>
          <w:szCs w:val="20"/>
          <w:lang w:eastAsia="en-US"/>
        </w:rPr>
        <w:t xml:space="preserve"> of 100 </w:t>
      </w:r>
      <w:proofErr w:type="spellStart"/>
      <w:r w:rsidRPr="00F4589C">
        <w:rPr>
          <w:rFonts w:ascii="Arial" w:eastAsiaTheme="minorHAnsi" w:hAnsi="Arial" w:cs="Arial"/>
          <w:sz w:val="20"/>
          <w:szCs w:val="20"/>
          <w:lang w:eastAsia="en-US"/>
        </w:rPr>
        <w:t>vol</w:t>
      </w:r>
      <w:proofErr w:type="spellEnd"/>
      <w:r w:rsidRPr="00F4589C">
        <w:rPr>
          <w:rFonts w:ascii="Arial" w:eastAsiaTheme="minorHAnsi" w:hAnsi="Arial" w:cs="Arial"/>
          <w:sz w:val="20"/>
          <w:szCs w:val="20"/>
          <w:lang w:eastAsia="en-US"/>
        </w:rPr>
        <w:t xml:space="preserve"> hydrogen peroxide into the bottom of a 250 cm</w:t>
      </w:r>
      <w:r w:rsidRPr="0080724C">
        <w:rPr>
          <w:rFonts w:ascii="Arial" w:eastAsiaTheme="minorHAnsi" w:hAnsi="Arial" w:cs="Arial"/>
          <w:sz w:val="20"/>
          <w:szCs w:val="20"/>
          <w:vertAlign w:val="superscript"/>
          <w:lang w:eastAsia="en-US"/>
        </w:rPr>
        <w:t>3</w:t>
      </w:r>
      <w:r w:rsidR="0080724C">
        <w:rPr>
          <w:rFonts w:ascii="Arial" w:eastAsiaTheme="minorHAnsi" w:hAnsi="Arial" w:cs="Arial"/>
          <w:sz w:val="20"/>
          <w:szCs w:val="20"/>
          <w:lang w:eastAsia="en-US"/>
        </w:rPr>
        <w:t xml:space="preserve"> </w:t>
      </w:r>
      <w:r w:rsidRPr="00F4589C">
        <w:rPr>
          <w:rFonts w:ascii="Arial" w:eastAsiaTheme="minorHAnsi" w:hAnsi="Arial" w:cs="Arial"/>
          <w:sz w:val="20"/>
          <w:szCs w:val="20"/>
          <w:lang w:eastAsia="en-US"/>
        </w:rPr>
        <w:t>borosilicate conical flask, ensuring the liquid does not touch the sides of the flask.</w:t>
      </w:r>
    </w:p>
    <w:p w14:paraId="661E8C19" w14:textId="77777777" w:rsidR="00F4589C" w:rsidRPr="00F4589C" w:rsidRDefault="00F4589C" w:rsidP="00F4589C">
      <w:pPr>
        <w:pStyle w:val="NormalWeb"/>
        <w:spacing w:before="0" w:beforeAutospacing="0" w:after="0" w:afterAutospacing="0"/>
        <w:rPr>
          <w:rFonts w:ascii="Arial" w:eastAsiaTheme="minorHAnsi" w:hAnsi="Arial" w:cs="Arial"/>
          <w:sz w:val="20"/>
          <w:szCs w:val="20"/>
          <w:lang w:eastAsia="en-US"/>
        </w:rPr>
      </w:pPr>
    </w:p>
    <w:p w14:paraId="2084E93E" w14:textId="3E5589BD" w:rsidR="00F4589C" w:rsidRPr="00F4589C" w:rsidRDefault="00F4589C" w:rsidP="00F4589C">
      <w:pPr>
        <w:pStyle w:val="NormalWeb"/>
        <w:spacing w:before="0" w:beforeAutospacing="0" w:after="0" w:afterAutospacing="0"/>
        <w:rPr>
          <w:rFonts w:ascii="Arial" w:eastAsiaTheme="minorHAnsi" w:hAnsi="Arial" w:cs="Arial"/>
          <w:sz w:val="20"/>
          <w:szCs w:val="20"/>
          <w:lang w:eastAsia="en-US"/>
        </w:rPr>
      </w:pPr>
      <w:r w:rsidRPr="00F4589C">
        <w:rPr>
          <w:rFonts w:ascii="Arial" w:eastAsiaTheme="minorHAnsi" w:hAnsi="Arial" w:cs="Arial"/>
          <w:sz w:val="20"/>
          <w:szCs w:val="20"/>
          <w:lang w:eastAsia="en-US"/>
        </w:rPr>
        <w:t xml:space="preserve">Cut an 8 cm square of tissue paper. Weigh out approximately 0.5 g of </w:t>
      </w:r>
      <w:proofErr w:type="gramStart"/>
      <w:r w:rsidRPr="00F4589C">
        <w:rPr>
          <w:rFonts w:ascii="Arial" w:eastAsiaTheme="minorHAnsi" w:hAnsi="Arial" w:cs="Arial"/>
          <w:sz w:val="20"/>
          <w:szCs w:val="20"/>
          <w:lang w:eastAsia="en-US"/>
        </w:rPr>
        <w:t>manganese(</w:t>
      </w:r>
      <w:proofErr w:type="gramEnd"/>
      <w:r w:rsidRPr="00F4589C">
        <w:rPr>
          <w:rFonts w:ascii="Arial" w:eastAsiaTheme="minorHAnsi" w:hAnsi="Arial" w:cs="Arial"/>
          <w:sz w:val="20"/>
          <w:szCs w:val="20"/>
          <w:lang w:eastAsia="en-US"/>
        </w:rPr>
        <w:t>IV) oxide into the tissue paper. Fold up the corners to make a pouch and tie it off with the cotton thread. Leave at least 10 cm of thread loose to suspend the pouch.</w:t>
      </w:r>
    </w:p>
    <w:p w14:paraId="7291F2B2" w14:textId="77777777" w:rsidR="00F4589C" w:rsidRPr="00F4589C" w:rsidRDefault="00F4589C" w:rsidP="00F4589C">
      <w:pPr>
        <w:pStyle w:val="NormalWeb"/>
        <w:spacing w:before="0" w:beforeAutospacing="0" w:after="0" w:afterAutospacing="0"/>
        <w:rPr>
          <w:rFonts w:ascii="Arial" w:eastAsiaTheme="minorHAnsi" w:hAnsi="Arial" w:cs="Arial"/>
          <w:sz w:val="20"/>
          <w:szCs w:val="20"/>
          <w:lang w:eastAsia="en-US"/>
        </w:rPr>
      </w:pPr>
    </w:p>
    <w:p w14:paraId="25F4B62F" w14:textId="77777777" w:rsidR="00F4589C" w:rsidRPr="00F4589C" w:rsidRDefault="00F4589C" w:rsidP="00F4589C">
      <w:pPr>
        <w:pStyle w:val="NormalWeb"/>
        <w:spacing w:before="0" w:beforeAutospacing="0" w:after="0" w:afterAutospacing="0"/>
        <w:rPr>
          <w:rFonts w:ascii="Arial" w:eastAsiaTheme="minorHAnsi" w:hAnsi="Arial" w:cs="Arial"/>
          <w:sz w:val="20"/>
          <w:szCs w:val="20"/>
          <w:lang w:eastAsia="en-US"/>
        </w:rPr>
      </w:pPr>
      <w:r w:rsidRPr="00F4589C">
        <w:rPr>
          <w:rFonts w:ascii="Arial" w:eastAsiaTheme="minorHAnsi" w:hAnsi="Arial" w:cs="Arial"/>
          <w:sz w:val="20"/>
          <w:szCs w:val="20"/>
          <w:lang w:eastAsia="en-US"/>
        </w:rPr>
        <w:t>Lower the pouch carefully into the flask so that it is suspended above, but well clear of the liquid beneath, and hold it in place by inserting the bung. The hole in the bung is essential in case the contents of the pouch slip into the flask too early.</w:t>
      </w:r>
    </w:p>
    <w:p w14:paraId="4EB621E4" w14:textId="77777777" w:rsidR="00F4589C" w:rsidRPr="00F4589C" w:rsidRDefault="00F4589C" w:rsidP="00360925"/>
    <w:p w14:paraId="6B8F1104" w14:textId="77777777" w:rsidR="00360925" w:rsidRPr="00F4589C" w:rsidRDefault="00360925" w:rsidP="00360925">
      <w:pPr>
        <w:pStyle w:val="Heading3"/>
      </w:pPr>
      <w:r w:rsidRPr="00F4589C">
        <w:t>In front of the class</w:t>
      </w:r>
    </w:p>
    <w:p w14:paraId="6DD057F5" w14:textId="17C65E99" w:rsidR="00F4589C" w:rsidRPr="00F4589C" w:rsidRDefault="00F4589C" w:rsidP="00F4589C">
      <w:pPr>
        <w:pStyle w:val="NormalWeb"/>
        <w:spacing w:before="0" w:beforeAutospacing="0" w:after="0" w:afterAutospacing="0"/>
        <w:rPr>
          <w:rFonts w:ascii="Arial" w:eastAsiaTheme="minorHAnsi" w:hAnsi="Arial" w:cs="Arial"/>
          <w:sz w:val="20"/>
          <w:szCs w:val="20"/>
          <w:lang w:eastAsia="en-US"/>
        </w:rPr>
      </w:pPr>
      <w:r w:rsidRPr="00F4589C">
        <w:rPr>
          <w:rFonts w:ascii="Arial" w:eastAsiaTheme="minorHAnsi" w:hAnsi="Arial" w:cs="Arial"/>
          <w:sz w:val="20"/>
          <w:szCs w:val="20"/>
          <w:lang w:eastAsia="en-US"/>
        </w:rPr>
        <w:t>Wear gloves and splash-proof goggles or face shield. Both the demonstrator and audience should be protected by safety screens. The audience should wear eye protection and be sat 5 m away to minimise exposure to any droplets of hydrogen peroxide emitted.</w:t>
      </w:r>
    </w:p>
    <w:p w14:paraId="3027DF09" w14:textId="77777777" w:rsidR="00F4589C" w:rsidRPr="00F4589C" w:rsidRDefault="00F4589C" w:rsidP="00F4589C">
      <w:pPr>
        <w:pStyle w:val="NormalWeb"/>
        <w:spacing w:before="0" w:beforeAutospacing="0" w:after="0" w:afterAutospacing="0"/>
        <w:rPr>
          <w:rFonts w:ascii="Arial" w:eastAsiaTheme="minorHAnsi" w:hAnsi="Arial" w:cs="Arial"/>
          <w:sz w:val="20"/>
          <w:szCs w:val="20"/>
          <w:lang w:eastAsia="en-US"/>
        </w:rPr>
      </w:pPr>
    </w:p>
    <w:p w14:paraId="6CCB5700" w14:textId="63D18BF4" w:rsidR="00F4589C" w:rsidRPr="00F4589C" w:rsidRDefault="00F4589C" w:rsidP="00F4589C">
      <w:pPr>
        <w:pStyle w:val="NormalWeb"/>
        <w:spacing w:before="0" w:beforeAutospacing="0" w:after="0" w:afterAutospacing="0"/>
        <w:rPr>
          <w:rFonts w:ascii="Arial" w:eastAsiaTheme="minorHAnsi" w:hAnsi="Arial" w:cs="Arial"/>
          <w:sz w:val="20"/>
          <w:szCs w:val="20"/>
          <w:lang w:eastAsia="en-US"/>
        </w:rPr>
      </w:pPr>
      <w:r w:rsidRPr="00F4589C">
        <w:rPr>
          <w:rFonts w:ascii="Arial" w:eastAsiaTheme="minorHAnsi" w:hAnsi="Arial" w:cs="Arial"/>
          <w:sz w:val="20"/>
          <w:szCs w:val="20"/>
          <w:lang w:eastAsia="en-US"/>
        </w:rPr>
        <w:t>Initiate the reaction by removing the bung then taking a few steps back. A puff of aerosolised water droplets is ejected from the flask by the evolved heat an</w:t>
      </w:r>
      <w:r w:rsidR="0080724C">
        <w:rPr>
          <w:rFonts w:ascii="Arial" w:eastAsiaTheme="minorHAnsi" w:hAnsi="Arial" w:cs="Arial"/>
          <w:sz w:val="20"/>
          <w:szCs w:val="20"/>
          <w:lang w:eastAsia="en-US"/>
        </w:rPr>
        <w:t xml:space="preserve">d oxygen gas as the </w:t>
      </w:r>
      <w:proofErr w:type="gramStart"/>
      <w:r w:rsidR="0080724C">
        <w:rPr>
          <w:rFonts w:ascii="Arial" w:eastAsiaTheme="minorHAnsi" w:hAnsi="Arial" w:cs="Arial"/>
          <w:sz w:val="20"/>
          <w:szCs w:val="20"/>
          <w:lang w:eastAsia="en-US"/>
        </w:rPr>
        <w:t>manganese(</w:t>
      </w:r>
      <w:proofErr w:type="gramEnd"/>
      <w:r w:rsidR="0080724C">
        <w:rPr>
          <w:rFonts w:ascii="Arial" w:eastAsiaTheme="minorHAnsi" w:hAnsi="Arial" w:cs="Arial"/>
          <w:sz w:val="20"/>
          <w:szCs w:val="20"/>
          <w:lang w:eastAsia="en-US"/>
        </w:rPr>
        <w:t>IV</w:t>
      </w:r>
      <w:r w:rsidRPr="00F4589C">
        <w:rPr>
          <w:rFonts w:ascii="Arial" w:eastAsiaTheme="minorHAnsi" w:hAnsi="Arial" w:cs="Arial"/>
          <w:sz w:val="20"/>
          <w:szCs w:val="20"/>
          <w:lang w:eastAsia="en-US"/>
        </w:rPr>
        <w:t>) oxide catalyses the decomposition of the hydrogen peroxide.</w:t>
      </w:r>
    </w:p>
    <w:p w14:paraId="676956B8" w14:textId="77777777" w:rsidR="00F4589C" w:rsidRPr="00F4589C" w:rsidRDefault="00F4589C" w:rsidP="00F4589C">
      <w:pPr>
        <w:pStyle w:val="NormalWeb"/>
        <w:spacing w:before="0" w:beforeAutospacing="0" w:after="0" w:afterAutospacing="0"/>
        <w:rPr>
          <w:rFonts w:ascii="Arial" w:eastAsiaTheme="minorHAnsi" w:hAnsi="Arial" w:cs="Arial"/>
          <w:sz w:val="20"/>
          <w:szCs w:val="20"/>
          <w:lang w:eastAsia="en-US"/>
        </w:rPr>
      </w:pPr>
    </w:p>
    <w:p w14:paraId="4FD584B9" w14:textId="77777777" w:rsidR="00F4589C" w:rsidRPr="00F4589C" w:rsidRDefault="00F4589C" w:rsidP="00F4589C">
      <w:pPr>
        <w:pStyle w:val="NormalWeb"/>
        <w:spacing w:before="0" w:beforeAutospacing="0" w:after="0" w:afterAutospacing="0"/>
        <w:rPr>
          <w:rFonts w:ascii="Arial" w:eastAsiaTheme="minorHAnsi" w:hAnsi="Arial" w:cs="Arial"/>
          <w:sz w:val="20"/>
          <w:szCs w:val="20"/>
          <w:lang w:eastAsia="en-US"/>
        </w:rPr>
      </w:pPr>
      <w:r w:rsidRPr="00F4589C">
        <w:rPr>
          <w:rFonts w:ascii="Arial" w:eastAsiaTheme="minorHAnsi" w:hAnsi="Arial" w:cs="Arial"/>
          <w:sz w:val="20"/>
          <w:szCs w:val="20"/>
          <w:lang w:eastAsia="en-US"/>
        </w:rPr>
        <w:t>You can emphasise the effect with a dark background. A skilled storyteller could frame the demonstration with the context of the genie of the lamp from the </w:t>
      </w:r>
      <w:r w:rsidRPr="00F4589C">
        <w:rPr>
          <w:rFonts w:ascii="Arial" w:eastAsiaTheme="minorHAnsi" w:hAnsi="Arial" w:cs="Arial"/>
          <w:i/>
          <w:iCs/>
          <w:sz w:val="20"/>
          <w:szCs w:val="20"/>
          <w:lang w:eastAsia="en-US"/>
        </w:rPr>
        <w:t>One thousand and one nights</w:t>
      </w:r>
      <w:r w:rsidRPr="00F4589C">
        <w:rPr>
          <w:rFonts w:ascii="Arial" w:eastAsiaTheme="minorHAnsi" w:hAnsi="Arial" w:cs="Arial"/>
          <w:sz w:val="20"/>
          <w:szCs w:val="20"/>
          <w:lang w:eastAsia="en-US"/>
        </w:rPr>
        <w:t> to add an air of mystery before explaining the science on display. In such a context, wrap the flask in aluminium foil to make it look more like a lamp.</w:t>
      </w:r>
    </w:p>
    <w:p w14:paraId="5D59F5B2" w14:textId="77777777" w:rsidR="00F4589C" w:rsidRPr="00F4589C" w:rsidRDefault="00F4589C" w:rsidP="00360925"/>
    <w:p w14:paraId="5CB6016A" w14:textId="77777777" w:rsidR="00360925" w:rsidRPr="00F4589C" w:rsidRDefault="00360925" w:rsidP="00360925">
      <w:pPr>
        <w:pStyle w:val="Heading3"/>
      </w:pPr>
      <w:r w:rsidRPr="00F4589C">
        <w:t>Safety and disposal</w:t>
      </w:r>
    </w:p>
    <w:p w14:paraId="31DB312B" w14:textId="1A7650FA" w:rsidR="00F4589C" w:rsidRDefault="00F4589C" w:rsidP="00855436">
      <w:pPr>
        <w:pStyle w:val="NormalWeb"/>
        <w:spacing w:before="0" w:beforeAutospacing="0" w:after="0" w:afterAutospacing="0"/>
        <w:rPr>
          <w:rFonts w:ascii="Arial" w:eastAsiaTheme="minorHAnsi" w:hAnsi="Arial" w:cs="Arial"/>
          <w:sz w:val="20"/>
          <w:szCs w:val="20"/>
          <w:lang w:eastAsia="en-US"/>
        </w:rPr>
      </w:pPr>
      <w:r w:rsidRPr="00F4589C">
        <w:rPr>
          <w:rFonts w:ascii="Arial" w:eastAsiaTheme="minorHAnsi" w:hAnsi="Arial" w:cs="Arial"/>
          <w:sz w:val="20"/>
          <w:szCs w:val="20"/>
          <w:lang w:eastAsia="en-US"/>
        </w:rPr>
        <w:t>Model risk assessments are unlikely to cover this demonstration. CLEAPSS members should </w:t>
      </w:r>
      <w:hyperlink r:id="rId11" w:history="1">
        <w:r w:rsidRPr="00F4589C">
          <w:rPr>
            <w:rFonts w:ascii="Arial" w:eastAsiaTheme="minorHAnsi" w:hAnsi="Arial" w:cs="Arial"/>
            <w:sz w:val="20"/>
            <w:szCs w:val="20"/>
            <w:lang w:eastAsia="en-US"/>
          </w:rPr>
          <w:t>consult the supplementary risk assessment</w:t>
        </w:r>
      </w:hyperlink>
      <w:r>
        <w:rPr>
          <w:rFonts w:ascii="Arial" w:eastAsiaTheme="minorHAnsi" w:hAnsi="Arial" w:cs="Arial"/>
          <w:sz w:val="20"/>
          <w:szCs w:val="20"/>
          <w:lang w:eastAsia="en-US"/>
        </w:rPr>
        <w:t xml:space="preserve"> (</w:t>
      </w:r>
      <w:r w:rsidRPr="00F4589C">
        <w:rPr>
          <w:rFonts w:ascii="Arial" w:eastAsiaTheme="minorHAnsi" w:hAnsi="Arial" w:cs="Arial"/>
          <w:sz w:val="20"/>
          <w:szCs w:val="20"/>
          <w:lang w:eastAsia="en-US"/>
        </w:rPr>
        <w:t>bit.ly/2sGyD2h</w:t>
      </w:r>
      <w:r>
        <w:rPr>
          <w:rFonts w:ascii="Arial" w:eastAsiaTheme="minorHAnsi" w:hAnsi="Arial" w:cs="Arial"/>
          <w:sz w:val="20"/>
          <w:szCs w:val="20"/>
          <w:lang w:eastAsia="en-US"/>
        </w:rPr>
        <w:t>)</w:t>
      </w:r>
      <w:r w:rsidRPr="00F4589C">
        <w:rPr>
          <w:rFonts w:ascii="Arial" w:eastAsiaTheme="minorHAnsi" w:hAnsi="Arial" w:cs="Arial"/>
          <w:sz w:val="20"/>
          <w:szCs w:val="20"/>
          <w:lang w:eastAsia="en-US"/>
        </w:rPr>
        <w:t>.</w:t>
      </w:r>
    </w:p>
    <w:p w14:paraId="480D36D9" w14:textId="77777777" w:rsidR="00855436" w:rsidRPr="00F4589C" w:rsidRDefault="00855436" w:rsidP="00855436">
      <w:pPr>
        <w:pStyle w:val="NormalWeb"/>
        <w:spacing w:before="0" w:beforeAutospacing="0" w:after="0" w:afterAutospacing="0"/>
        <w:rPr>
          <w:rFonts w:ascii="Arial" w:eastAsiaTheme="minorHAnsi" w:hAnsi="Arial" w:cs="Arial"/>
          <w:sz w:val="20"/>
          <w:szCs w:val="20"/>
          <w:lang w:eastAsia="en-US"/>
        </w:rPr>
      </w:pPr>
    </w:p>
    <w:p w14:paraId="329DA99D" w14:textId="77777777" w:rsidR="00855436" w:rsidRDefault="00F4589C" w:rsidP="00855436">
      <w:pPr>
        <w:pStyle w:val="NormalWeb"/>
        <w:spacing w:before="0" w:beforeAutospacing="0" w:after="0" w:afterAutospacing="0"/>
        <w:rPr>
          <w:rFonts w:ascii="Arial" w:eastAsiaTheme="minorHAnsi" w:hAnsi="Arial" w:cs="Arial"/>
          <w:sz w:val="20"/>
          <w:szCs w:val="20"/>
          <w:lang w:eastAsia="en-US"/>
        </w:rPr>
      </w:pPr>
      <w:r w:rsidRPr="00F4589C">
        <w:rPr>
          <w:rFonts w:ascii="Arial" w:eastAsiaTheme="minorHAnsi" w:hAnsi="Arial" w:cs="Arial"/>
          <w:sz w:val="20"/>
          <w:szCs w:val="20"/>
          <w:lang w:eastAsia="en-US"/>
        </w:rPr>
        <w:t>Do not exceed the quantities outlined or deviate from the method. Although lead oxide is sometimes used to catalyse the decomposition of hydrogen peroxide, it would not be suitable here as lead particles can be released into the room. The temperature of the liquid is likely to exceed 80°C at the end of the reaction so the equipment will be hot afterwards and PET bottles may soften and deform.</w:t>
      </w:r>
      <w:r w:rsidR="00855436">
        <w:rPr>
          <w:rFonts w:ascii="Arial" w:eastAsiaTheme="minorHAnsi" w:hAnsi="Arial" w:cs="Arial"/>
          <w:sz w:val="20"/>
          <w:szCs w:val="20"/>
          <w:lang w:eastAsia="en-US"/>
        </w:rPr>
        <w:t xml:space="preserve"> </w:t>
      </w:r>
    </w:p>
    <w:p w14:paraId="12BAC98A" w14:textId="014CE4F3" w:rsidR="00F4589C" w:rsidRDefault="00F4589C" w:rsidP="00855436">
      <w:pPr>
        <w:pStyle w:val="NormalWeb"/>
        <w:spacing w:before="0" w:beforeAutospacing="0" w:after="0" w:afterAutospacing="0"/>
        <w:rPr>
          <w:rFonts w:ascii="Arial" w:eastAsiaTheme="minorHAnsi" w:hAnsi="Arial" w:cs="Arial"/>
          <w:sz w:val="20"/>
          <w:szCs w:val="20"/>
          <w:lang w:eastAsia="en-US"/>
        </w:rPr>
      </w:pPr>
      <w:r w:rsidRPr="00F4589C">
        <w:rPr>
          <w:rFonts w:ascii="Arial" w:eastAsiaTheme="minorHAnsi" w:hAnsi="Arial" w:cs="Arial"/>
          <w:sz w:val="20"/>
          <w:szCs w:val="20"/>
          <w:lang w:eastAsia="en-US"/>
        </w:rPr>
        <w:lastRenderedPageBreak/>
        <w:t>Use only borosilicate flasks or PET plastic drinking bottles. Do not re-use any PET bottle used in this demonstration. Do not use volumetric flasks as they are made from soda glass and the neck is too narrow – explosions have occurred in the past.</w:t>
      </w:r>
    </w:p>
    <w:p w14:paraId="7DF7F379" w14:textId="77777777" w:rsidR="00855436" w:rsidRPr="00F4589C" w:rsidRDefault="00855436" w:rsidP="00855436">
      <w:pPr>
        <w:pStyle w:val="NormalWeb"/>
        <w:spacing w:before="0" w:beforeAutospacing="0" w:after="0" w:afterAutospacing="0"/>
        <w:rPr>
          <w:rFonts w:ascii="Arial" w:eastAsiaTheme="minorHAnsi" w:hAnsi="Arial" w:cs="Arial"/>
          <w:sz w:val="20"/>
          <w:szCs w:val="20"/>
          <w:lang w:eastAsia="en-US"/>
        </w:rPr>
      </w:pPr>
    </w:p>
    <w:p w14:paraId="781C00C8" w14:textId="40EC280E" w:rsidR="0080030A" w:rsidRPr="00F4589C" w:rsidRDefault="00F4589C" w:rsidP="00855436">
      <w:pPr>
        <w:pStyle w:val="NormalWeb"/>
        <w:spacing w:before="0" w:beforeAutospacing="0" w:after="0" w:afterAutospacing="0"/>
        <w:rPr>
          <w:rFonts w:ascii="Arial" w:eastAsiaTheme="minorHAnsi" w:hAnsi="Arial" w:cs="Arial"/>
          <w:sz w:val="20"/>
          <w:szCs w:val="20"/>
          <w:lang w:eastAsia="en-US"/>
        </w:rPr>
      </w:pPr>
      <w:r w:rsidRPr="00F4589C">
        <w:rPr>
          <w:rFonts w:ascii="Arial" w:eastAsiaTheme="minorHAnsi" w:hAnsi="Arial" w:cs="Arial"/>
          <w:sz w:val="20"/>
          <w:szCs w:val="20"/>
          <w:lang w:eastAsia="en-US"/>
        </w:rPr>
        <w:t>Filter the solid to recover it and pour the liquid down the sink.</w:t>
      </w:r>
    </w:p>
    <w:sectPr w:rsidR="0080030A" w:rsidRPr="00F4589C" w:rsidSect="00E331A7">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2F70" w14:textId="77777777" w:rsidR="0027207B" w:rsidRDefault="0027207B" w:rsidP="000D3D40">
      <w:r>
        <w:separator/>
      </w:r>
    </w:p>
  </w:endnote>
  <w:endnote w:type="continuationSeparator" w:id="0">
    <w:p w14:paraId="14D6F327" w14:textId="77777777" w:rsidR="0027207B" w:rsidRDefault="0027207B"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65D09D88" w:rsidR="00E40CCC" w:rsidRDefault="00E40CCC" w:rsidP="00E40CCC">
    <w:pPr>
      <w:pStyle w:val="Footer"/>
      <w:jc w:val="right"/>
    </w:pPr>
    <w:r>
      <w:t xml:space="preserve">Page </w:t>
    </w:r>
    <w:r>
      <w:fldChar w:fldCharType="begin"/>
    </w:r>
    <w:r>
      <w:instrText xml:space="preserve"> PAGE   \* MERGEFORMAT </w:instrText>
    </w:r>
    <w:r>
      <w:fldChar w:fldCharType="separate"/>
    </w:r>
    <w:r w:rsidR="0080724C">
      <w:rPr>
        <w:noProof/>
      </w:rPr>
      <w:t>2</w:t>
    </w:r>
    <w:r>
      <w:fldChar w:fldCharType="end"/>
    </w:r>
    <w:r>
      <w:t xml:space="preserve"> of </w:t>
    </w:r>
    <w:fldSimple w:instr=" NUMPAGES   \* MERGEFORMAT ">
      <w:r w:rsidR="0080724C">
        <w:rPr>
          <w:noProof/>
        </w:rPr>
        <w:t>2</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1A0774D0" w:rsidR="00E40CCC" w:rsidRDefault="00E40CCC" w:rsidP="00E40CCC">
    <w:pPr>
      <w:pStyle w:val="Footer"/>
      <w:jc w:val="right"/>
    </w:pPr>
    <w:r>
      <w:t xml:space="preserve">Page </w:t>
    </w:r>
    <w:r>
      <w:fldChar w:fldCharType="begin"/>
    </w:r>
    <w:r>
      <w:instrText xml:space="preserve"> PAGE   \* MERGEFORMAT </w:instrText>
    </w:r>
    <w:r>
      <w:fldChar w:fldCharType="separate"/>
    </w:r>
    <w:r w:rsidR="00023F83">
      <w:rPr>
        <w:noProof/>
      </w:rPr>
      <w:t>1</w:t>
    </w:r>
    <w:r>
      <w:fldChar w:fldCharType="end"/>
    </w:r>
    <w:r>
      <w:t xml:space="preserve"> of </w:t>
    </w:r>
    <w:r w:rsidR="00023F83">
      <w:fldChar w:fldCharType="begin"/>
    </w:r>
    <w:r w:rsidR="00023F83">
      <w:instrText xml:space="preserve"> NUMPAGES   \* MERGEFORMAT </w:instrText>
    </w:r>
    <w:r w:rsidR="00023F83">
      <w:fldChar w:fldCharType="separate"/>
    </w:r>
    <w:r w:rsidR="00023F83">
      <w:rPr>
        <w:noProof/>
      </w:rPr>
      <w:t>2</w:t>
    </w:r>
    <w:r w:rsidR="00023F83">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CD9AE" w14:textId="77777777" w:rsidR="0027207B" w:rsidRDefault="0027207B" w:rsidP="000D3D40">
      <w:r>
        <w:separator/>
      </w:r>
    </w:p>
  </w:footnote>
  <w:footnote w:type="continuationSeparator" w:id="0">
    <w:p w14:paraId="54DD11CB" w14:textId="77777777" w:rsidR="0027207B" w:rsidRDefault="0027207B"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B80"/>
    <w:multiLevelType w:val="hybridMultilevel"/>
    <w:tmpl w:val="433C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C67D1"/>
    <w:multiLevelType w:val="multilevel"/>
    <w:tmpl w:val="1A50D35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3"/>
  </w:num>
  <w:num w:numId="17">
    <w:abstractNumId w:val="19"/>
  </w:num>
  <w:num w:numId="18">
    <w:abstractNumId w:val="15"/>
  </w:num>
  <w:num w:numId="19">
    <w:abstractNumId w:val="20"/>
  </w:num>
  <w:num w:numId="20">
    <w:abstractNumId w:val="18"/>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3F83"/>
    <w:rsid w:val="0002726D"/>
    <w:rsid w:val="0003347C"/>
    <w:rsid w:val="000355C3"/>
    <w:rsid w:val="000709BF"/>
    <w:rsid w:val="000B30DF"/>
    <w:rsid w:val="000C7E4A"/>
    <w:rsid w:val="000D3D40"/>
    <w:rsid w:val="000D440E"/>
    <w:rsid w:val="0010603F"/>
    <w:rsid w:val="00112D04"/>
    <w:rsid w:val="001167A2"/>
    <w:rsid w:val="00165309"/>
    <w:rsid w:val="00170457"/>
    <w:rsid w:val="0018383B"/>
    <w:rsid w:val="001B6661"/>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66840"/>
    <w:rsid w:val="0027207B"/>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0925"/>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350B8"/>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67C33"/>
    <w:rsid w:val="0067206C"/>
    <w:rsid w:val="006758AB"/>
    <w:rsid w:val="0068537A"/>
    <w:rsid w:val="006D3E26"/>
    <w:rsid w:val="006F6F73"/>
    <w:rsid w:val="00707FDD"/>
    <w:rsid w:val="00714A35"/>
    <w:rsid w:val="00723F23"/>
    <w:rsid w:val="007358E3"/>
    <w:rsid w:val="0075451A"/>
    <w:rsid w:val="00755C7E"/>
    <w:rsid w:val="007667DD"/>
    <w:rsid w:val="00784400"/>
    <w:rsid w:val="007974A6"/>
    <w:rsid w:val="007C1813"/>
    <w:rsid w:val="0080030A"/>
    <w:rsid w:val="00805114"/>
    <w:rsid w:val="0080724C"/>
    <w:rsid w:val="00807F8B"/>
    <w:rsid w:val="0081005F"/>
    <w:rsid w:val="008141FB"/>
    <w:rsid w:val="008342DB"/>
    <w:rsid w:val="00836F07"/>
    <w:rsid w:val="00853A62"/>
    <w:rsid w:val="00854D32"/>
    <w:rsid w:val="00855436"/>
    <w:rsid w:val="00857888"/>
    <w:rsid w:val="00870502"/>
    <w:rsid w:val="00873C13"/>
    <w:rsid w:val="00881418"/>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72310"/>
    <w:rsid w:val="00977AAC"/>
    <w:rsid w:val="00982F78"/>
    <w:rsid w:val="0098380A"/>
    <w:rsid w:val="009875B2"/>
    <w:rsid w:val="00987FC3"/>
    <w:rsid w:val="009C5777"/>
    <w:rsid w:val="009D37F9"/>
    <w:rsid w:val="009D4E77"/>
    <w:rsid w:val="009F0DFC"/>
    <w:rsid w:val="009F3445"/>
    <w:rsid w:val="00A36CB9"/>
    <w:rsid w:val="00A42400"/>
    <w:rsid w:val="00A46B94"/>
    <w:rsid w:val="00A50EEB"/>
    <w:rsid w:val="00A52886"/>
    <w:rsid w:val="00A74AC9"/>
    <w:rsid w:val="00A75F4C"/>
    <w:rsid w:val="00A76DBA"/>
    <w:rsid w:val="00A9584B"/>
    <w:rsid w:val="00AA30E5"/>
    <w:rsid w:val="00AB1738"/>
    <w:rsid w:val="00AE621F"/>
    <w:rsid w:val="00AF3542"/>
    <w:rsid w:val="00AF776F"/>
    <w:rsid w:val="00B20041"/>
    <w:rsid w:val="00B57B2A"/>
    <w:rsid w:val="00B718A6"/>
    <w:rsid w:val="00BA512C"/>
    <w:rsid w:val="00BB1F22"/>
    <w:rsid w:val="00C17DDC"/>
    <w:rsid w:val="00C3053B"/>
    <w:rsid w:val="00CD10BF"/>
    <w:rsid w:val="00CE37CF"/>
    <w:rsid w:val="00D174D9"/>
    <w:rsid w:val="00D20A6A"/>
    <w:rsid w:val="00D34A04"/>
    <w:rsid w:val="00D5111B"/>
    <w:rsid w:val="00D57E7F"/>
    <w:rsid w:val="00D60214"/>
    <w:rsid w:val="00D62F8A"/>
    <w:rsid w:val="00D71A1A"/>
    <w:rsid w:val="00D84534"/>
    <w:rsid w:val="00D90054"/>
    <w:rsid w:val="00D94977"/>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EF66DC"/>
    <w:rsid w:val="00F05BEA"/>
    <w:rsid w:val="00F256BF"/>
    <w:rsid w:val="00F32AE0"/>
    <w:rsid w:val="00F33F60"/>
    <w:rsid w:val="00F373ED"/>
    <w:rsid w:val="00F4589C"/>
    <w:rsid w:val="00F47056"/>
    <w:rsid w:val="00F60031"/>
    <w:rsid w:val="00F76CF5"/>
    <w:rsid w:val="00F91DF0"/>
    <w:rsid w:val="00FA248D"/>
    <w:rsid w:val="00FA7F39"/>
    <w:rsid w:val="00FB66F1"/>
    <w:rsid w:val="00FC0A2D"/>
    <w:rsid w:val="00FC60FB"/>
    <w:rsid w:val="00FD3BA3"/>
    <w:rsid w:val="00FD3F2B"/>
    <w:rsid w:val="00FD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 w:type="paragraph" w:styleId="NormalWeb">
    <w:name w:val="Normal (Web)"/>
    <w:basedOn w:val="Normal"/>
    <w:uiPriority w:val="99"/>
    <w:unhideWhenUsed/>
    <w:rsid w:val="00F4589C"/>
    <w:pPr>
      <w:keepLines w:val="0"/>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7917">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643197896">
      <w:bodyDiv w:val="1"/>
      <w:marLeft w:val="0"/>
      <w:marRight w:val="0"/>
      <w:marTop w:val="0"/>
      <w:marBottom w:val="0"/>
      <w:divBdr>
        <w:top w:val="none" w:sz="0" w:space="0" w:color="auto"/>
        <w:left w:val="none" w:sz="0" w:space="0" w:color="auto"/>
        <w:bottom w:val="none" w:sz="0" w:space="0" w:color="auto"/>
        <w:right w:val="none" w:sz="0" w:space="0" w:color="auto"/>
      </w:divBdr>
    </w:div>
    <w:div w:id="727994979">
      <w:bodyDiv w:val="1"/>
      <w:marLeft w:val="0"/>
      <w:marRight w:val="0"/>
      <w:marTop w:val="0"/>
      <w:marBottom w:val="0"/>
      <w:divBdr>
        <w:top w:val="none" w:sz="0" w:space="0" w:color="auto"/>
        <w:left w:val="none" w:sz="0" w:space="0" w:color="auto"/>
        <w:bottom w:val="none" w:sz="0" w:space="0" w:color="auto"/>
        <w:right w:val="none" w:sz="0" w:space="0" w:color="auto"/>
      </w:divBdr>
    </w:div>
    <w:div w:id="846095189">
      <w:bodyDiv w:val="1"/>
      <w:marLeft w:val="0"/>
      <w:marRight w:val="0"/>
      <w:marTop w:val="0"/>
      <w:marBottom w:val="0"/>
      <w:divBdr>
        <w:top w:val="none" w:sz="0" w:space="0" w:color="auto"/>
        <w:left w:val="none" w:sz="0" w:space="0" w:color="auto"/>
        <w:bottom w:val="none" w:sz="0" w:space="0" w:color="auto"/>
        <w:right w:val="none" w:sz="0" w:space="0" w:color="auto"/>
      </w:divBdr>
      <w:divsChild>
        <w:div w:id="1910769676">
          <w:marLeft w:val="0"/>
          <w:marRight w:val="0"/>
          <w:marTop w:val="0"/>
          <w:marBottom w:val="0"/>
          <w:divBdr>
            <w:top w:val="none" w:sz="0" w:space="0" w:color="auto"/>
            <w:left w:val="none" w:sz="0" w:space="0" w:color="auto"/>
            <w:bottom w:val="none" w:sz="0" w:space="0" w:color="auto"/>
            <w:right w:val="none" w:sz="0" w:space="0" w:color="auto"/>
          </w:divBdr>
        </w:div>
      </w:divsChild>
    </w:div>
    <w:div w:id="1151942617">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ence.cleapss.org.uk/Resource-Info/SRA017-The-hydrogen-peroxide-genie.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2tbhUV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Elemental flamethrower, technician notes</vt:lpstr>
    </vt:vector>
  </TitlesOfParts>
  <Company>Royal Society of Chemistry</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genie in the bottle, technician notes</dc:title>
  <dc:subject>Demonstration silver acetylide as a contact explosive</dc:subject>
  <dc:creator>Royal Society of Chemistry</dc:creator>
  <dc:description>From Education in Chemistry, July 2018.</dc:description>
  <cp:lastModifiedBy>Luke Blackburn</cp:lastModifiedBy>
  <cp:revision>38</cp:revision>
  <dcterms:created xsi:type="dcterms:W3CDTF">2017-08-02T11:55:00Z</dcterms:created>
  <dcterms:modified xsi:type="dcterms:W3CDTF">2018-06-15T11:41:00Z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