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8422B" w14:textId="77777777" w:rsidR="0041788F" w:rsidRDefault="0041788F" w:rsidP="00CE49E2">
      <w:pPr>
        <w:pStyle w:val="Heading1"/>
      </w:pPr>
      <w:r w:rsidRPr="0041788F">
        <w:t>An icebreaker for thermodynamics</w:t>
      </w:r>
    </w:p>
    <w:p w14:paraId="4FB10F87" w14:textId="799D8D56" w:rsidR="0005693A" w:rsidRDefault="0005693A" w:rsidP="0005693A">
      <w:pPr>
        <w:pStyle w:val="Leadparagraph"/>
        <w:rPr>
          <w:rStyle w:val="LeadparagraphChar"/>
        </w:rPr>
      </w:pPr>
      <w:r w:rsidRPr="009875B2">
        <w:rPr>
          <w:rStyle w:val="LeadparagraphChar"/>
          <w:b/>
          <w:i/>
        </w:rPr>
        <w:t>Education in Chemistry</w:t>
      </w:r>
      <w:r>
        <w:rPr>
          <w:rStyle w:val="LeadparagraphChar"/>
          <w:b/>
        </w:rPr>
        <w:br/>
      </w:r>
      <w:r w:rsidR="0041788F">
        <w:rPr>
          <w:rStyle w:val="LeadparagraphChar"/>
        </w:rPr>
        <w:t>November</w:t>
      </w:r>
      <w:r>
        <w:rPr>
          <w:rStyle w:val="LeadparagraphChar"/>
        </w:rPr>
        <w:t xml:space="preserve"> </w:t>
      </w:r>
      <w:r w:rsidR="0041788F">
        <w:rPr>
          <w:rStyle w:val="LeadparagraphChar"/>
        </w:rPr>
        <w:t>2018</w:t>
      </w:r>
      <w:r>
        <w:rPr>
          <w:rStyle w:val="LeadparagraphChar"/>
        </w:rPr>
        <w:br/>
      </w:r>
      <w:r w:rsidR="0041788F" w:rsidRPr="0041788F">
        <w:rPr>
          <w:rStyle w:val="LeadparagraphChar"/>
        </w:rPr>
        <w:t>rsc.li/2CPClO3</w:t>
      </w:r>
    </w:p>
    <w:p w14:paraId="5D5609EC" w14:textId="05A4505F" w:rsidR="0005693A" w:rsidRDefault="0041788F" w:rsidP="0005693A">
      <w:pPr>
        <w:pStyle w:val="Heading2"/>
      </w:pPr>
      <w:r>
        <w:t>Technic</w:t>
      </w:r>
      <w:bookmarkStart w:id="0" w:name="_GoBack"/>
      <w:bookmarkEnd w:id="0"/>
      <w:r>
        <w:t>ian notes</w:t>
      </w:r>
    </w:p>
    <w:p w14:paraId="3E4912E3" w14:textId="77777777" w:rsidR="00451339" w:rsidRDefault="00451339" w:rsidP="00451339">
      <w:pPr>
        <w:pStyle w:val="Heading3"/>
      </w:pPr>
      <w:r>
        <w:t>Kit</w:t>
      </w:r>
    </w:p>
    <w:p w14:paraId="14665414" w14:textId="77777777" w:rsidR="00451339" w:rsidRDefault="00451339" w:rsidP="00451339">
      <w:pPr>
        <w:pStyle w:val="ListParagraph"/>
        <w:keepLines w:val="0"/>
        <w:numPr>
          <w:ilvl w:val="0"/>
          <w:numId w:val="8"/>
        </w:numPr>
        <w:spacing w:after="0"/>
      </w:pPr>
      <w:r>
        <w:t>Data logger with temperature probe, capable of live graphing, resolution ±0.1</w:t>
      </w:r>
      <w:r>
        <w:sym w:font="Symbol" w:char="F0B0"/>
      </w:r>
      <w:r>
        <w:t>C, and sample frequency at least once per second</w:t>
      </w:r>
    </w:p>
    <w:p w14:paraId="34B42CED" w14:textId="77777777" w:rsidR="00451339" w:rsidRDefault="00451339" w:rsidP="00451339">
      <w:pPr>
        <w:pStyle w:val="ListParagraph"/>
        <w:keepLines w:val="0"/>
        <w:numPr>
          <w:ilvl w:val="0"/>
          <w:numId w:val="8"/>
        </w:numPr>
        <w:spacing w:after="0"/>
      </w:pPr>
      <w:r>
        <w:t>Test tube</w:t>
      </w:r>
    </w:p>
    <w:p w14:paraId="7F2C59A2" w14:textId="77777777" w:rsidR="00451339" w:rsidRDefault="00451339" w:rsidP="00451339">
      <w:pPr>
        <w:pStyle w:val="ListParagraph"/>
        <w:keepLines w:val="0"/>
        <w:numPr>
          <w:ilvl w:val="0"/>
          <w:numId w:val="8"/>
        </w:numPr>
        <w:spacing w:after="0"/>
      </w:pPr>
      <w:r>
        <w:t>500 cm</w:t>
      </w:r>
      <w:r w:rsidRPr="00C37952">
        <w:rPr>
          <w:vertAlign w:val="superscript"/>
        </w:rPr>
        <w:t>3</w:t>
      </w:r>
      <w:r>
        <w:t xml:space="preserve"> beaker</w:t>
      </w:r>
    </w:p>
    <w:p w14:paraId="63779E60" w14:textId="77777777" w:rsidR="00451339" w:rsidRDefault="00451339" w:rsidP="00451339">
      <w:pPr>
        <w:pStyle w:val="ListParagraph"/>
        <w:keepLines w:val="0"/>
        <w:numPr>
          <w:ilvl w:val="0"/>
          <w:numId w:val="8"/>
        </w:numPr>
        <w:spacing w:after="0"/>
      </w:pPr>
      <w:r>
        <w:t>Ice (about 200 g)</w:t>
      </w:r>
    </w:p>
    <w:p w14:paraId="7F03B2E5" w14:textId="77777777" w:rsidR="00451339" w:rsidRDefault="00451339" w:rsidP="00451339">
      <w:pPr>
        <w:pStyle w:val="ListParagraph"/>
        <w:keepLines w:val="0"/>
        <w:numPr>
          <w:ilvl w:val="0"/>
          <w:numId w:val="8"/>
        </w:numPr>
        <w:spacing w:after="0"/>
      </w:pPr>
      <w:r>
        <w:t>Salt (about 25 g)</w:t>
      </w:r>
    </w:p>
    <w:p w14:paraId="4BF2FC38" w14:textId="77777777" w:rsidR="00451339" w:rsidRDefault="00451339" w:rsidP="00451339">
      <w:pPr>
        <w:pStyle w:val="ListParagraph"/>
        <w:keepLines w:val="0"/>
        <w:numPr>
          <w:ilvl w:val="0"/>
          <w:numId w:val="8"/>
        </w:numPr>
        <w:spacing w:after="0"/>
      </w:pPr>
      <w:r>
        <w:t>Tap water (about 200 cm</w:t>
      </w:r>
      <w:r w:rsidRPr="00C37952">
        <w:rPr>
          <w:vertAlign w:val="superscript"/>
        </w:rPr>
        <w:t>3</w:t>
      </w:r>
      <w:r>
        <w:t>)</w:t>
      </w:r>
    </w:p>
    <w:p w14:paraId="43C2C217" w14:textId="77777777" w:rsidR="00451339" w:rsidRDefault="00451339" w:rsidP="00451339">
      <w:pPr>
        <w:pStyle w:val="ListParagraph"/>
        <w:keepLines w:val="0"/>
        <w:numPr>
          <w:ilvl w:val="0"/>
          <w:numId w:val="8"/>
        </w:numPr>
        <w:spacing w:after="0"/>
      </w:pPr>
      <w:r>
        <w:t>Deionised water (about 5 cm</w:t>
      </w:r>
      <w:r w:rsidRPr="00C37952">
        <w:rPr>
          <w:vertAlign w:val="superscript"/>
        </w:rPr>
        <w:t>3</w:t>
      </w:r>
      <w:r>
        <w:t>)</w:t>
      </w:r>
    </w:p>
    <w:p w14:paraId="219CCCB7" w14:textId="77777777" w:rsidR="00451339" w:rsidRDefault="00451339" w:rsidP="00451339">
      <w:pPr>
        <w:pStyle w:val="ListParagraph"/>
        <w:keepLines w:val="0"/>
        <w:numPr>
          <w:ilvl w:val="0"/>
          <w:numId w:val="8"/>
        </w:numPr>
        <w:spacing w:after="0"/>
      </w:pPr>
      <w:r>
        <w:t xml:space="preserve">Retort stand </w:t>
      </w:r>
      <w:r w:rsidRPr="0002745F">
        <w:t>and</w:t>
      </w:r>
      <w:r>
        <w:t xml:space="preserve"> clamp</w:t>
      </w:r>
    </w:p>
    <w:p w14:paraId="17665296" w14:textId="77777777" w:rsidR="00451339" w:rsidRDefault="00451339" w:rsidP="00451339">
      <w:pPr>
        <w:pStyle w:val="ListParagraph"/>
        <w:keepLines w:val="0"/>
        <w:numPr>
          <w:ilvl w:val="0"/>
          <w:numId w:val="8"/>
        </w:numPr>
        <w:spacing w:after="0"/>
      </w:pPr>
      <w:r>
        <w:t>Stirring rod or magnetic stirrer</w:t>
      </w:r>
    </w:p>
    <w:p w14:paraId="4B7B109E" w14:textId="77777777" w:rsidR="00451339" w:rsidRDefault="00451339" w:rsidP="00451339">
      <w:pPr>
        <w:pStyle w:val="Heading3"/>
      </w:pPr>
      <w:r>
        <w:t>Preparation</w:t>
      </w:r>
    </w:p>
    <w:p w14:paraId="4B396C38" w14:textId="77777777" w:rsidR="00451339" w:rsidRDefault="00451339" w:rsidP="00451339">
      <w:r>
        <w:t xml:space="preserve">Make a water bath by placing the tap water in the </w:t>
      </w:r>
      <w:proofErr w:type="gramStart"/>
      <w:r>
        <w:t>500 cm</w:t>
      </w:r>
      <w:r w:rsidRPr="004B13BF">
        <w:rPr>
          <w:vertAlign w:val="superscript"/>
        </w:rPr>
        <w:t>3</w:t>
      </w:r>
      <w:proofErr w:type="gramEnd"/>
      <w:r>
        <w:t xml:space="preserve"> beaker – if a stirrer is available then you can place the beaker on it and add a magnetic follower. Use the clamp and retort stand to hold a test tube containing </w:t>
      </w:r>
      <w:proofErr w:type="gramStart"/>
      <w:r w:rsidRPr="0002745F">
        <w:t>5</w:t>
      </w:r>
      <w:proofErr w:type="gramEnd"/>
      <w:r>
        <w:t xml:space="preserve"> cm</w:t>
      </w:r>
      <w:r w:rsidRPr="004B13BF">
        <w:rPr>
          <w:vertAlign w:val="superscript"/>
        </w:rPr>
        <w:t>3</w:t>
      </w:r>
      <w:r>
        <w:t xml:space="preserve"> of deionised water above the </w:t>
      </w:r>
      <w:proofErr w:type="spellStart"/>
      <w:r>
        <w:t>the</w:t>
      </w:r>
      <w:proofErr w:type="spellEnd"/>
      <w:r>
        <w:t xml:space="preserve"> water bath. Set up the data logger to record at for at least 1200 s (20 </w:t>
      </w:r>
      <w:proofErr w:type="spellStart"/>
      <w:r>
        <w:t>mins</w:t>
      </w:r>
      <w:proofErr w:type="spellEnd"/>
      <w:r>
        <w:t>) (</w:t>
      </w:r>
      <w:proofErr w:type="spellStart"/>
      <w:r>
        <w:t>eg</w:t>
      </w:r>
      <w:proofErr w:type="spellEnd"/>
      <w:r>
        <w:t xml:space="preserve"> </w:t>
      </w:r>
      <w:proofErr w:type="gramStart"/>
      <w:r>
        <w:t>2</w:t>
      </w:r>
      <w:proofErr w:type="gramEnd"/>
      <w:r>
        <w:t xml:space="preserve"> samples per second recording 2400 samples). Connect and place the temperature probe in the test tube. </w:t>
      </w:r>
    </w:p>
    <w:p w14:paraId="74F96C9E" w14:textId="7E4E5DA6" w:rsidR="00451339" w:rsidRDefault="00451339" w:rsidP="00451339">
      <w:r>
        <w:t xml:space="preserve">Measure out about 5 </w:t>
      </w:r>
      <w:r>
        <w:t>teaspoons</w:t>
      </w:r>
      <w:r>
        <w:t xml:space="preserve"> of salt (20</w:t>
      </w:r>
      <w:r>
        <w:t>–</w:t>
      </w:r>
      <w:r>
        <w:t>25 g) and 200 g of ice.</w:t>
      </w:r>
    </w:p>
    <w:p w14:paraId="1FC8E628" w14:textId="77777777" w:rsidR="00451339" w:rsidRDefault="00451339" w:rsidP="00451339">
      <w:pPr>
        <w:pStyle w:val="Heading3"/>
      </w:pPr>
      <w:r>
        <w:t>In front of the class</w:t>
      </w:r>
    </w:p>
    <w:p w14:paraId="793250A3" w14:textId="03108132" w:rsidR="00451339" w:rsidRDefault="00451339" w:rsidP="00451339">
      <w:pPr>
        <w:spacing w:after="120"/>
      </w:pPr>
      <w:r>
        <w:t>Project the temperature–time graph from the data logger and add the salt and half the ice to the water bath.</w:t>
      </w:r>
    </w:p>
    <w:p w14:paraId="1A4C81B1" w14:textId="4C38F969" w:rsidR="00451339" w:rsidRDefault="00451339" w:rsidP="00451339">
      <w:pPr>
        <w:spacing w:after="120"/>
      </w:pPr>
      <w:r>
        <w:t>Stir the water bath throughout the experiment and start data collection. Lower the test tube and probe into the bath so that the water within is submerged. The temperature on the screen</w:t>
      </w:r>
      <w:r w:rsidR="00580EAE">
        <w:t xml:space="preserve"> will begin to drop</w:t>
      </w:r>
      <w:r>
        <w:t xml:space="preserve">. You can draw </w:t>
      </w:r>
      <w:r w:rsidR="00580EAE">
        <w:t>students’</w:t>
      </w:r>
      <w:r>
        <w:t xml:space="preserve"> attention to the fact that the water is still liquid by gently moving the probe. </w:t>
      </w:r>
    </w:p>
    <w:p w14:paraId="04181C2D" w14:textId="0A5E0EF7" w:rsidR="00451339" w:rsidRDefault="00451339" w:rsidP="00451339">
      <w:pPr>
        <w:spacing w:after="120"/>
      </w:pPr>
      <w:r>
        <w:t>The water may continue to supercool for up to three more minutes. Then, a shocking temperature spike appears as an ice crystal nucleates and rapid freezing occurs exothermically. The temperature then locks onto 0</w:t>
      </w:r>
      <w:r>
        <w:sym w:font="Symbol" w:char="F0B0"/>
      </w:r>
      <w:r>
        <w:t xml:space="preserve">C until the freezing has completed, and only then resumes decreasing towards the temperature of the water bath, which </w:t>
      </w:r>
      <w:proofErr w:type="gramStart"/>
      <w:r>
        <w:t>may by now require</w:t>
      </w:r>
      <w:proofErr w:type="gramEnd"/>
      <w:r>
        <w:t xml:space="preserve"> more ice.</w:t>
      </w:r>
    </w:p>
    <w:p w14:paraId="2BFD98A8" w14:textId="77777777" w:rsidR="00451339" w:rsidRDefault="00451339" w:rsidP="00451339">
      <w:pPr>
        <w:spacing w:after="120"/>
      </w:pPr>
      <w:r>
        <w:t>After about ten minutes, lift the tube out and replace the contents of the bath with lukewarm tap water. Lower the test tube back in, but do not disturb the probe, which should remain frozen within the ice. The temperature will rise, lock onto 0</w:t>
      </w:r>
      <w:r>
        <w:sym w:font="Symbol" w:char="F0B0"/>
      </w:r>
      <w:r>
        <w:t>C until the thaw is complete and then continue towards the ambient temperature.</w:t>
      </w:r>
    </w:p>
    <w:p w14:paraId="3AD62240" w14:textId="77777777" w:rsidR="00451339" w:rsidRDefault="00451339" w:rsidP="00451339">
      <w:pPr>
        <w:spacing w:after="120"/>
      </w:pPr>
      <w:r>
        <w:t xml:space="preserve">By zooming in on the graph, the random error in the probe’s readings will be evident – these </w:t>
      </w:r>
      <w:proofErr w:type="gramStart"/>
      <w:r>
        <w:t>can be reduced</w:t>
      </w:r>
      <w:proofErr w:type="gramEnd"/>
      <w:r>
        <w:t xml:space="preserve"> by taking an average of the readings in the straight-line section. The </w:t>
      </w:r>
      <w:r w:rsidRPr="00BC7B2A">
        <w:t>average</w:t>
      </w:r>
      <w:r>
        <w:t xml:space="preserve"> values for freezing and melting will agree within the uncertainty of the probe.</w:t>
      </w:r>
    </w:p>
    <w:p w14:paraId="416654EB" w14:textId="6CE2730A" w:rsidR="007705C4" w:rsidRDefault="007705C4" w:rsidP="0005693A"/>
    <w:sectPr w:rsidR="007705C4" w:rsidSect="00E331A7">
      <w:footerReference w:type="default" r:id="rId10"/>
      <w:headerReference w:type="first" r:id="rId11"/>
      <w:footerReference w:type="first" r:id="rId12"/>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7348E03B"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451339">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451339">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5ADC4D3E"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CE49E2">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CE49E2">
      <w:rPr>
        <w:noProof/>
        <w:sz w:val="16"/>
      </w:rPr>
      <w:t>1</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EF2420"/>
    <w:multiLevelType w:val="hybridMultilevel"/>
    <w:tmpl w:val="1CAAE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5"/>
    <w:lvlOverride w:ilvl="0">
      <w:startOverride w:val="2"/>
    </w:lvlOverride>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3B"/>
    <w:rsid w:val="00012664"/>
    <w:rsid w:val="0002726D"/>
    <w:rsid w:val="000355C3"/>
    <w:rsid w:val="0005693A"/>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61A0D"/>
    <w:rsid w:val="003B3451"/>
    <w:rsid w:val="003C026F"/>
    <w:rsid w:val="003D3F02"/>
    <w:rsid w:val="003D54D0"/>
    <w:rsid w:val="003D6B89"/>
    <w:rsid w:val="003E2810"/>
    <w:rsid w:val="003F24EB"/>
    <w:rsid w:val="003F631F"/>
    <w:rsid w:val="003F79F1"/>
    <w:rsid w:val="00400C63"/>
    <w:rsid w:val="00413366"/>
    <w:rsid w:val="0041788F"/>
    <w:rsid w:val="00424F9A"/>
    <w:rsid w:val="00427B37"/>
    <w:rsid w:val="00451339"/>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80EAE"/>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4A35"/>
    <w:rsid w:val="00723F23"/>
    <w:rsid w:val="007358E3"/>
    <w:rsid w:val="0075451A"/>
    <w:rsid w:val="00755C7E"/>
    <w:rsid w:val="007667DD"/>
    <w:rsid w:val="007705C4"/>
    <w:rsid w:val="00784400"/>
    <w:rsid w:val="007C1813"/>
    <w:rsid w:val="007C4328"/>
    <w:rsid w:val="007D50E0"/>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A42400"/>
    <w:rsid w:val="00A50EEB"/>
    <w:rsid w:val="00A52886"/>
    <w:rsid w:val="00A75F4C"/>
    <w:rsid w:val="00A9584B"/>
    <w:rsid w:val="00AB1738"/>
    <w:rsid w:val="00AE621F"/>
    <w:rsid w:val="00AE7C6A"/>
    <w:rsid w:val="00AF3542"/>
    <w:rsid w:val="00AF776F"/>
    <w:rsid w:val="00B20041"/>
    <w:rsid w:val="00B57B2A"/>
    <w:rsid w:val="00BA512C"/>
    <w:rsid w:val="00BB1F22"/>
    <w:rsid w:val="00C17DDC"/>
    <w:rsid w:val="00C3053B"/>
    <w:rsid w:val="00CD10BF"/>
    <w:rsid w:val="00CE49E2"/>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2427AC-40FE-4BBA-B06D-BC332C186A75}">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27d643f5-4560-4eff-9f48-d0fe6b2bec2d"/>
    <ds:schemaRef ds:uri="http://www.w3.org/XML/1998/namespace"/>
    <ds:schemaRef ds:uri="http://purl.org/dc/dcmitype/"/>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An icebreaker for thermodynamics – technician notes</vt:lpstr>
    </vt:vector>
  </TitlesOfParts>
  <Company>Royal Society of Chemistry</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icebreaker for thermodynamics – technician notes</dc:title>
  <dc:subject>Demonstration silver acetylide as a contact explosive</dc:subject>
  <dc:creator>Royal Society of Chemistry</dc:creator>
  <dc:description>From Education in Chemistry, November 2018, https://rsc.li/2CPClO3</dc:description>
  <cp:lastModifiedBy>David Sait</cp:lastModifiedBy>
  <cp:revision>22</cp:revision>
  <dcterms:created xsi:type="dcterms:W3CDTF">2016-12-15T11:02:00Z</dcterms:created>
  <dcterms:modified xsi:type="dcterms:W3CDTF">2018-10-29T08:38:00Z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