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DD19FCF" w:rsidR="0005693A" w:rsidRDefault="008B08A7" w:rsidP="0005693A">
      <w:pPr>
        <w:pStyle w:val="Heading1"/>
      </w:pPr>
      <w:r>
        <w:t>Student-led planning, monitoring and evaluating of their learning</w:t>
      </w:r>
    </w:p>
    <w:p w14:paraId="4FB10F87" w14:textId="182F7CD1" w:rsidR="0005693A" w:rsidRPr="00EA697F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8B08A7">
        <w:rPr>
          <w:rStyle w:val="LeadparagraphChar"/>
        </w:rPr>
        <w:t>September 2019</w:t>
      </w:r>
      <w:r>
        <w:rPr>
          <w:rStyle w:val="LeadparagraphChar"/>
        </w:rPr>
        <w:br/>
      </w:r>
      <w:bookmarkStart w:id="0" w:name="_GoBack"/>
      <w:r w:rsidR="00EA697F" w:rsidRPr="00EA697F">
        <w:rPr>
          <w:rStyle w:val="LeadparagraphChar"/>
        </w:rPr>
        <w:t>rsc.li/2Uz5mGO</w:t>
      </w:r>
    </w:p>
    <w:bookmarkEnd w:id="0"/>
    <w:p w14:paraId="6B2B4508" w14:textId="4127155F" w:rsidR="0005693A" w:rsidRDefault="008B08A7" w:rsidP="0005693A">
      <w:pPr>
        <w:pStyle w:val="Leadparagraph"/>
      </w:pPr>
      <w:r>
        <w:t xml:space="preserve">Students can use this questions, set out in three phases, to help them answer questions. The three phases of questions support the metacognitive cycle. </w:t>
      </w:r>
    </w:p>
    <w:p w14:paraId="5D5609EC" w14:textId="7A24FB7D" w:rsidR="0005693A" w:rsidRDefault="008B08A7" w:rsidP="0005693A">
      <w:pPr>
        <w:pStyle w:val="Heading2"/>
      </w:pPr>
      <w:r>
        <w:t>Planning phase</w:t>
      </w:r>
    </w:p>
    <w:p w14:paraId="463AFAB4" w14:textId="77777777" w:rsidR="00667BA0" w:rsidRDefault="00667BA0" w:rsidP="00667BA0">
      <w:pPr>
        <w:pStyle w:val="ListParagraph"/>
        <w:keepLines w:val="0"/>
        <w:numPr>
          <w:ilvl w:val="1"/>
          <w:numId w:val="8"/>
        </w:numPr>
        <w:spacing w:after="160" w:line="256" w:lineRule="auto"/>
      </w:pPr>
      <w:r>
        <w:t>Have you done a question like this before? What did success look like?</w:t>
      </w:r>
    </w:p>
    <w:p w14:paraId="5FB0A3BB" w14:textId="77777777" w:rsidR="00667BA0" w:rsidRDefault="00667BA0" w:rsidP="00667BA0">
      <w:pPr>
        <w:pStyle w:val="ListParagraph"/>
        <w:keepLines w:val="0"/>
        <w:numPr>
          <w:ilvl w:val="1"/>
          <w:numId w:val="8"/>
        </w:numPr>
        <w:spacing w:after="160" w:line="256" w:lineRule="auto"/>
      </w:pPr>
      <w:r>
        <w:t>Do you know the scientific knowledge behind the question? Do you need to recap anything?</w:t>
      </w:r>
    </w:p>
    <w:p w14:paraId="16861CB2" w14:textId="77777777" w:rsidR="00667BA0" w:rsidRDefault="00667BA0" w:rsidP="00667BA0">
      <w:pPr>
        <w:pStyle w:val="ListParagraph"/>
        <w:keepLines w:val="0"/>
        <w:numPr>
          <w:ilvl w:val="1"/>
          <w:numId w:val="8"/>
        </w:numPr>
        <w:spacing w:after="160" w:line="256" w:lineRule="auto"/>
      </w:pPr>
      <w:r>
        <w:t>Have you carried out the experiment, or a similar experiment before? Do you need to recap the method?</w:t>
      </w:r>
    </w:p>
    <w:p w14:paraId="32079163" w14:textId="77777777" w:rsidR="00667BA0" w:rsidRDefault="00667BA0" w:rsidP="00667BA0">
      <w:pPr>
        <w:pStyle w:val="ListParagraph"/>
        <w:keepLines w:val="0"/>
        <w:numPr>
          <w:ilvl w:val="1"/>
          <w:numId w:val="8"/>
        </w:numPr>
        <w:spacing w:after="160" w:line="256" w:lineRule="auto"/>
      </w:pPr>
      <w:r>
        <w:t>How do you ensure that your experimental results are both accurate and precise?</w:t>
      </w:r>
    </w:p>
    <w:p w14:paraId="676149B2" w14:textId="77777777" w:rsidR="00667BA0" w:rsidRDefault="00667BA0" w:rsidP="008B08A7">
      <w:pPr>
        <w:pStyle w:val="Heading2"/>
      </w:pPr>
      <w:r>
        <w:t>Monitoring phase</w:t>
      </w:r>
    </w:p>
    <w:p w14:paraId="1A551D7D" w14:textId="77777777" w:rsidR="00667BA0" w:rsidRDefault="00667BA0" w:rsidP="008B08A7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Are you sticking to what the question wanted?</w:t>
      </w:r>
    </w:p>
    <w:p w14:paraId="4E59067F" w14:textId="77777777" w:rsidR="00667BA0" w:rsidRDefault="00667BA0" w:rsidP="008B08A7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Have you addressed the safety aspects related to the practical?</w:t>
      </w:r>
    </w:p>
    <w:p w14:paraId="485B17EB" w14:textId="77777777" w:rsidR="00667BA0" w:rsidRDefault="00667BA0" w:rsidP="008B08A7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Have you outlined any equipment needed and explained what it is used for?</w:t>
      </w:r>
    </w:p>
    <w:p w14:paraId="69B16DC8" w14:textId="77777777" w:rsidR="00667BA0" w:rsidRDefault="00667BA0" w:rsidP="008B08A7">
      <w:pPr>
        <w:pStyle w:val="ListParagraph"/>
        <w:keepLines w:val="0"/>
        <w:numPr>
          <w:ilvl w:val="0"/>
          <w:numId w:val="10"/>
        </w:numPr>
        <w:spacing w:after="160" w:line="256" w:lineRule="auto"/>
      </w:pPr>
      <w:r>
        <w:t>Have you addressed what you will do with the data collected by saying what graph to plot or equation to use?</w:t>
      </w:r>
    </w:p>
    <w:p w14:paraId="56CD8292" w14:textId="77777777" w:rsidR="00667BA0" w:rsidRDefault="00667BA0" w:rsidP="008B08A7">
      <w:pPr>
        <w:pStyle w:val="Heading2"/>
      </w:pPr>
      <w:r>
        <w:t>Evaluation phase:</w:t>
      </w:r>
    </w:p>
    <w:p w14:paraId="251710FA" w14:textId="77777777" w:rsidR="00667BA0" w:rsidRDefault="00667BA0" w:rsidP="008B08A7">
      <w:pPr>
        <w:pStyle w:val="ListParagraph"/>
        <w:keepLines w:val="0"/>
        <w:numPr>
          <w:ilvl w:val="0"/>
          <w:numId w:val="11"/>
        </w:numPr>
        <w:spacing w:after="160" w:line="256" w:lineRule="auto"/>
      </w:pPr>
      <w:r>
        <w:t>How did you do against the mark scheme?</w:t>
      </w:r>
    </w:p>
    <w:p w14:paraId="00F31CEB" w14:textId="77777777" w:rsidR="00667BA0" w:rsidRDefault="00667BA0" w:rsidP="008B08A7">
      <w:pPr>
        <w:pStyle w:val="ListParagraph"/>
        <w:keepLines w:val="0"/>
        <w:numPr>
          <w:ilvl w:val="0"/>
          <w:numId w:val="11"/>
        </w:numPr>
        <w:spacing w:after="160" w:line="256" w:lineRule="auto"/>
      </w:pPr>
      <w:r>
        <w:t>Have you structured your question in a way that someone could follow to complete the practical?</w:t>
      </w:r>
    </w:p>
    <w:p w14:paraId="09A90B89" w14:textId="77777777" w:rsidR="00667BA0" w:rsidRDefault="00667BA0" w:rsidP="008B08A7">
      <w:pPr>
        <w:pStyle w:val="ListParagraph"/>
        <w:keepLines w:val="0"/>
        <w:numPr>
          <w:ilvl w:val="0"/>
          <w:numId w:val="11"/>
        </w:numPr>
        <w:spacing w:after="160" w:line="256" w:lineRule="auto"/>
      </w:pPr>
      <w:r>
        <w:t>Are there any key bits that you have missed?</w:t>
      </w:r>
    </w:p>
    <w:p w14:paraId="352C4809" w14:textId="77777777" w:rsidR="00667BA0" w:rsidRDefault="00667BA0" w:rsidP="008B08A7">
      <w:pPr>
        <w:pStyle w:val="ListParagraph"/>
        <w:keepLines w:val="0"/>
        <w:numPr>
          <w:ilvl w:val="0"/>
          <w:numId w:val="11"/>
        </w:numPr>
        <w:spacing w:after="160" w:line="256" w:lineRule="auto"/>
      </w:pPr>
      <w:r>
        <w:t>Did your chosen strategy work? Why?</w:t>
      </w:r>
    </w:p>
    <w:p w14:paraId="416654EB" w14:textId="772C55B4" w:rsidR="007705C4" w:rsidRDefault="00667BA0" w:rsidP="00F022A1">
      <w:pPr>
        <w:pStyle w:val="ListParagraph"/>
        <w:keepLines w:val="0"/>
        <w:numPr>
          <w:ilvl w:val="0"/>
          <w:numId w:val="11"/>
        </w:numPr>
        <w:spacing w:after="160" w:line="256" w:lineRule="auto"/>
      </w:pPr>
      <w:r>
        <w:t>How will you approach a question like this in the future?</w:t>
      </w:r>
    </w:p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BDA4D77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947F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947F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3A58"/>
    <w:multiLevelType w:val="hybridMultilevel"/>
    <w:tmpl w:val="0CA8D4E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D54B6"/>
    <w:multiLevelType w:val="hybridMultilevel"/>
    <w:tmpl w:val="0CA8D4E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96DB7"/>
    <w:multiLevelType w:val="hybridMultilevel"/>
    <w:tmpl w:val="3604AB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47FB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67BA0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08A7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A697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1046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Student-led planning, monitoring and evaluating of their learning</vt:lpstr>
    </vt:vector>
  </TitlesOfParts>
  <Company>Royal Society of Chemistry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Student-led planning, monitoring and evaluating of their learning</dc:title>
  <dc:subject>Demonstration silver acetylide as a contact explosive</dc:subject>
  <dc:creator>Royal Society of Chemistry</dc:creator>
  <dc:description>From Show students how to direct their own learning, Education in Chemistry, rsc.li/2Uz5mGO</dc:description>
  <cp:lastModifiedBy>Lisa Clatworthy</cp:lastModifiedBy>
  <cp:revision>5</cp:revision>
  <dcterms:created xsi:type="dcterms:W3CDTF">2019-03-21T14:42:00Z</dcterms:created>
  <dcterms:modified xsi:type="dcterms:W3CDTF">2019-04-05T15:19:00Z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