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8B" w:rsidRDefault="001A51FD" w:rsidP="000D3D40">
      <w:pPr>
        <w:pStyle w:val="Heading1"/>
      </w:pPr>
      <w:r>
        <w:t>Recycling the undesired enantiomer of naproxen</w:t>
      </w:r>
    </w:p>
    <w:p w:rsidR="001A51FD" w:rsidRDefault="005C2B10" w:rsidP="001A51FD">
      <w:pPr>
        <w:pStyle w:val="Leadparagraph"/>
      </w:pPr>
      <w:r>
        <w:t>A context/problem-based learning (C/PBL) resource</w:t>
      </w:r>
    </w:p>
    <w:p w:rsidR="00582E46" w:rsidRPr="00582E46" w:rsidRDefault="00582E46" w:rsidP="00582E46"/>
    <w:p w:rsidR="00D71A1A" w:rsidRDefault="001A51FD" w:rsidP="007C1813">
      <w:pPr>
        <w:pStyle w:val="Leadparagraph"/>
        <w:rPr>
          <w:rStyle w:val="LeadparagraphChar"/>
          <w:b/>
          <w:sz w:val="24"/>
          <w:szCs w:val="24"/>
        </w:rPr>
      </w:pPr>
      <w:r>
        <w:rPr>
          <w:rStyle w:val="LeadparagraphChar"/>
          <w:b/>
          <w:sz w:val="24"/>
          <w:szCs w:val="24"/>
        </w:rPr>
        <w:t>Laboratory manual</w:t>
      </w:r>
    </w:p>
    <w:p w:rsidR="001A51FD" w:rsidRPr="001A51FD" w:rsidRDefault="001A51FD" w:rsidP="001A51FD"/>
    <w:p w:rsidR="001A51FD" w:rsidRDefault="005A4239" w:rsidP="000D3D40">
      <w:proofErr w:type="spellStart"/>
      <w:r>
        <w:t>Nimesh</w:t>
      </w:r>
      <w:proofErr w:type="spellEnd"/>
      <w:r>
        <w:t xml:space="preserve"> </w:t>
      </w:r>
      <w:proofErr w:type="spellStart"/>
      <w:r>
        <w:t>Mistry</w:t>
      </w:r>
      <w:proofErr w:type="spellEnd"/>
      <w:r>
        <w:t xml:space="preserve">, Sarah </w:t>
      </w:r>
      <w:proofErr w:type="spellStart"/>
      <w:r>
        <w:t>Naramore</w:t>
      </w:r>
      <w:proofErr w:type="spellEnd"/>
      <w:r>
        <w:t xml:space="preserve"> and George Burslem</w:t>
      </w:r>
      <w:bookmarkStart w:id="0" w:name="_GoBack"/>
      <w:bookmarkEnd w:id="0"/>
      <w:r w:rsidR="001A51FD">
        <w:br/>
        <w:t>University of Leeds</w:t>
      </w:r>
    </w:p>
    <w:p w:rsidR="001A51FD" w:rsidRDefault="001A51FD">
      <w:pPr>
        <w:keepLines w:val="0"/>
        <w:spacing w:before="200" w:after="0"/>
        <w:rPr>
          <w:b/>
          <w:color w:val="2C4D67"/>
          <w:sz w:val="30"/>
          <w:szCs w:val="26"/>
        </w:rPr>
      </w:pPr>
      <w:r>
        <w:br w:type="page"/>
      </w:r>
    </w:p>
    <w:p w:rsidR="00B91164" w:rsidRDefault="00B91164" w:rsidP="00A84E1D">
      <w:pPr>
        <w:keepLines w:val="0"/>
        <w:rPr>
          <w:b/>
          <w:color w:val="2C4D67"/>
          <w:sz w:val="30"/>
          <w:szCs w:val="30"/>
        </w:rPr>
      </w:pPr>
      <w:r w:rsidRPr="00A60E19">
        <w:rPr>
          <w:b/>
          <w:color w:val="2C4D67"/>
          <w:sz w:val="30"/>
          <w:szCs w:val="30"/>
        </w:rPr>
        <w:lastRenderedPageBreak/>
        <w:t>Table of contents</w:t>
      </w:r>
    </w:p>
    <w:p w:rsidR="002C42BC" w:rsidRDefault="002C42BC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eastAsia="en-GB"/>
        </w:rPr>
      </w:pPr>
      <w:r>
        <w:fldChar w:fldCharType="begin"/>
      </w:r>
      <w:r>
        <w:instrText xml:space="preserve"> TOC \h \z \u \t "Heading 2,1,Heading 3,2" </w:instrText>
      </w:r>
      <w:r>
        <w:fldChar w:fldCharType="separate"/>
      </w:r>
      <w:hyperlink w:anchor="_Toc446428053" w:history="1">
        <w:r w:rsidRPr="00E66190">
          <w:rPr>
            <w:rStyle w:val="Hyperlink"/>
            <w:noProof/>
          </w:rPr>
          <w:t>Health and safety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_Toc446428053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C42BC" w:rsidRDefault="005A4239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eastAsia="en-GB"/>
        </w:rPr>
      </w:pPr>
      <w:hyperlink w:anchor="_Toc446428054" w:history="1">
        <w:r w:rsidR="002C42BC" w:rsidRPr="00E66190">
          <w:rPr>
            <w:rStyle w:val="Hyperlink"/>
            <w:noProof/>
          </w:rPr>
          <w:t>General procedures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_Toc446428054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3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446428055" w:history="1">
        <w:r w:rsidR="002C42BC" w:rsidRPr="00E66190">
          <w:rPr>
            <w:rStyle w:val="Hyperlink"/>
            <w:noProof/>
          </w:rPr>
          <w:t>Preparation of naproxen ester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_Toc446428055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3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446428056" w:history="1">
        <w:r w:rsidR="002C42BC" w:rsidRPr="00E66190">
          <w:rPr>
            <w:rStyle w:val="Hyperlink"/>
            <w:noProof/>
          </w:rPr>
          <w:t>Soft enolisation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_Toc446428056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3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446428057" w:history="1">
        <w:r w:rsidR="002C42BC" w:rsidRPr="00E66190">
          <w:rPr>
            <w:rStyle w:val="Hyperlink"/>
            <w:noProof/>
          </w:rPr>
          <w:t>Enzymatic resolution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_Toc446428057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4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446428058" w:history="1">
        <w:r w:rsidR="002C42BC" w:rsidRPr="00E66190">
          <w:rPr>
            <w:rStyle w:val="Hyperlink"/>
            <w:noProof/>
          </w:rPr>
          <w:t>Calculating enantiomeric excess (ee) and enantiomeric ratio by optical rotation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_Toc446428058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5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446428059" w:history="1">
        <w:r w:rsidR="002C42BC" w:rsidRPr="00E66190">
          <w:rPr>
            <w:rStyle w:val="Hyperlink"/>
            <w:noProof/>
          </w:rPr>
          <w:t>Preparing samples for HPLC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_Toc446428059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5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eastAsia="en-GB"/>
        </w:rPr>
      </w:pPr>
      <w:hyperlink w:anchor="_Toc446428060" w:history="1">
        <w:r w:rsidR="002C42BC" w:rsidRPr="00E66190">
          <w:rPr>
            <w:rStyle w:val="Hyperlink"/>
            <w:noProof/>
          </w:rPr>
          <w:t>Spectra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_Toc446428060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6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446428061" w:history="1">
        <w:r w:rsidR="002C42BC" w:rsidRPr="00E66190">
          <w:rPr>
            <w:rStyle w:val="Hyperlink"/>
            <w:noProof/>
            <w:vertAlign w:val="superscript"/>
          </w:rPr>
          <w:t>1</w:t>
        </w:r>
        <w:r w:rsidR="002C42BC" w:rsidRPr="00E66190">
          <w:rPr>
            <w:rStyle w:val="Hyperlink"/>
            <w:noProof/>
          </w:rPr>
          <w:t>H NMR – Naproxen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_Toc446428061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6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446428062" w:history="1">
        <w:r w:rsidR="002C42BC" w:rsidRPr="00E66190">
          <w:rPr>
            <w:rStyle w:val="Hyperlink"/>
            <w:noProof/>
            <w:vertAlign w:val="superscript"/>
          </w:rPr>
          <w:t>13</w:t>
        </w:r>
        <w:r w:rsidR="002C42BC" w:rsidRPr="00E66190">
          <w:rPr>
            <w:rStyle w:val="Hyperlink"/>
            <w:noProof/>
          </w:rPr>
          <w:t>C NMR – Naproxen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_Toc446428062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7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446428063" w:history="1">
        <w:r w:rsidR="002C42BC" w:rsidRPr="00E66190">
          <w:rPr>
            <w:rStyle w:val="Hyperlink"/>
            <w:noProof/>
          </w:rPr>
          <w:t>FTIR – Naproxen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_Toc446428063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8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446428064" w:history="1">
        <w:r w:rsidR="002C42BC" w:rsidRPr="00E66190">
          <w:rPr>
            <w:rStyle w:val="Hyperlink"/>
            <w:noProof/>
            <w:vertAlign w:val="superscript"/>
          </w:rPr>
          <w:t>1</w:t>
        </w:r>
        <w:r w:rsidR="002C42BC" w:rsidRPr="00E66190">
          <w:rPr>
            <w:rStyle w:val="Hyperlink"/>
            <w:noProof/>
          </w:rPr>
          <w:t>H NMR – Naproxen methyl ester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_Toc446428064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9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446428065" w:history="1">
        <w:r w:rsidR="002C42BC" w:rsidRPr="00E66190">
          <w:rPr>
            <w:rStyle w:val="Hyperlink"/>
            <w:noProof/>
            <w:vertAlign w:val="superscript"/>
          </w:rPr>
          <w:t>13</w:t>
        </w:r>
        <w:r w:rsidR="002C42BC" w:rsidRPr="00E66190">
          <w:rPr>
            <w:rStyle w:val="Hyperlink"/>
            <w:noProof/>
          </w:rPr>
          <w:t>C NMR – Naproxen methyl ester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_Toc446428065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10</w:t>
        </w:r>
        <w:r w:rsidR="002C42BC">
          <w:rPr>
            <w:noProof/>
            <w:webHidden/>
          </w:rPr>
          <w:fldChar w:fldCharType="end"/>
        </w:r>
      </w:hyperlink>
    </w:p>
    <w:p w:rsidR="002C42BC" w:rsidRDefault="005A4239">
      <w:pPr>
        <w:pStyle w:val="TO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446428066" w:history="1">
        <w:r w:rsidR="002C42BC" w:rsidRPr="00E66190">
          <w:rPr>
            <w:rStyle w:val="Hyperlink"/>
            <w:noProof/>
          </w:rPr>
          <w:t>FTIR – Naproxen methyl ester</w:t>
        </w:r>
        <w:r w:rsidR="002C42BC">
          <w:rPr>
            <w:noProof/>
            <w:webHidden/>
          </w:rPr>
          <w:tab/>
        </w:r>
        <w:r w:rsidR="002C42BC">
          <w:rPr>
            <w:noProof/>
            <w:webHidden/>
          </w:rPr>
          <w:fldChar w:fldCharType="begin"/>
        </w:r>
        <w:r w:rsidR="002C42BC">
          <w:rPr>
            <w:noProof/>
            <w:webHidden/>
          </w:rPr>
          <w:instrText xml:space="preserve"> PAGEREF _Toc446428066 \h </w:instrText>
        </w:r>
        <w:r w:rsidR="002C42BC">
          <w:rPr>
            <w:noProof/>
            <w:webHidden/>
          </w:rPr>
        </w:r>
        <w:r w:rsidR="002C42BC">
          <w:rPr>
            <w:noProof/>
            <w:webHidden/>
          </w:rPr>
          <w:fldChar w:fldCharType="separate"/>
        </w:r>
        <w:r w:rsidR="002C42BC">
          <w:rPr>
            <w:noProof/>
            <w:webHidden/>
          </w:rPr>
          <w:t>11</w:t>
        </w:r>
        <w:r w:rsidR="002C42BC">
          <w:rPr>
            <w:noProof/>
            <w:webHidden/>
          </w:rPr>
          <w:fldChar w:fldCharType="end"/>
        </w:r>
      </w:hyperlink>
    </w:p>
    <w:p w:rsidR="00A60E19" w:rsidRPr="00A60E19" w:rsidRDefault="002C42BC" w:rsidP="00A60E19">
      <w:r>
        <w:fldChar w:fldCharType="end"/>
      </w:r>
    </w:p>
    <w:p w:rsidR="001A51FD" w:rsidRDefault="001A51FD">
      <w:pPr>
        <w:keepLines w:val="0"/>
        <w:spacing w:before="200" w:after="0"/>
        <w:rPr>
          <w:b/>
          <w:color w:val="2C4D67"/>
          <w:sz w:val="30"/>
          <w:szCs w:val="26"/>
        </w:rPr>
      </w:pPr>
      <w:r>
        <w:br w:type="page"/>
      </w:r>
    </w:p>
    <w:p w:rsidR="0075451A" w:rsidRPr="008B3961" w:rsidRDefault="001A51FD" w:rsidP="008B3961">
      <w:pPr>
        <w:pStyle w:val="Heading2"/>
      </w:pPr>
      <w:bookmarkStart w:id="1" w:name="_Toc446428053"/>
      <w:r>
        <w:lastRenderedPageBreak/>
        <w:t>Health and safety</w:t>
      </w:r>
      <w:bookmarkEnd w:id="1"/>
    </w:p>
    <w:p w:rsidR="001A51FD" w:rsidRDefault="001A51FD" w:rsidP="001A51FD">
      <w:r>
        <w:t>You will be expected to perform your laboratory work in a safe fashion and obey COSHH regulations.</w:t>
      </w:r>
    </w:p>
    <w:p w:rsidR="0075451A" w:rsidRDefault="001A51FD" w:rsidP="001A51FD">
      <w:r>
        <w:t xml:space="preserve">You must read this </w:t>
      </w:r>
      <w:hyperlink r:id="rId12" w:history="1">
        <w:r w:rsidRPr="001A51FD">
          <w:rPr>
            <w:rStyle w:val="Hyperlink"/>
          </w:rPr>
          <w:t>health and safety guide</w:t>
        </w:r>
      </w:hyperlink>
      <w:r>
        <w:t xml:space="preserve"> before starting any experimental work - </w:t>
      </w:r>
      <w:hyperlink r:id="rId13" w:history="1">
        <w:r w:rsidRPr="00942046">
          <w:rPr>
            <w:rStyle w:val="Hyperlink"/>
          </w:rPr>
          <w:t>http://rsc.li/1PWZOwt</w:t>
        </w:r>
      </w:hyperlink>
      <w:r>
        <w:t>.</w:t>
      </w:r>
    </w:p>
    <w:p w:rsidR="001A51FD" w:rsidRDefault="001A51FD" w:rsidP="001A51FD"/>
    <w:p w:rsidR="001A51FD" w:rsidRDefault="001A51FD" w:rsidP="001A51FD">
      <w:pPr>
        <w:pStyle w:val="Heading2"/>
      </w:pPr>
      <w:bookmarkStart w:id="2" w:name="_Toc446428054"/>
      <w:r>
        <w:t>General procedures</w:t>
      </w:r>
      <w:bookmarkEnd w:id="2"/>
    </w:p>
    <w:p w:rsidR="001A51FD" w:rsidRDefault="001A51FD" w:rsidP="001A51FD">
      <w:pPr>
        <w:pStyle w:val="Heading3"/>
      </w:pPr>
      <w:bookmarkStart w:id="3" w:name="_Toc446428055"/>
      <w:r>
        <w:t>Preparation of naproxen ester</w:t>
      </w:r>
      <w:bookmarkEnd w:id="3"/>
    </w:p>
    <w:p w:rsidR="00983959" w:rsidRPr="00983959" w:rsidRDefault="00983959" w:rsidP="00983959"/>
    <w:p w:rsidR="00B66636" w:rsidRDefault="007344B6" w:rsidP="00B66636">
      <w:pPr>
        <w:keepNext/>
      </w:pPr>
      <w:r w:rsidRPr="008D2FB3">
        <w:object w:dxaOrig="8117" w:dyaOrig="1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action scheme for the preparation of naproxen ester" style="width:406.75pt;height:51.45pt" o:ole="">
            <v:imagedata r:id="rId14" o:title=""/>
          </v:shape>
          <o:OLEObject Type="Embed" ProgID="ChemDraw.Document.6.0" ShapeID="_x0000_i1025" DrawAspect="Content" ObjectID="_1531828691" r:id="rId15"/>
        </w:object>
      </w:r>
    </w:p>
    <w:p w:rsidR="001A51FD" w:rsidRDefault="00B66636" w:rsidP="00B66636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: Reaction scheme for the preparation of naproxen ester </w:t>
      </w:r>
    </w:p>
    <w:p w:rsidR="008B3A10" w:rsidRDefault="008B3A10" w:rsidP="001A51FD"/>
    <w:p w:rsidR="008B3A10" w:rsidRDefault="008B3A10" w:rsidP="008B3A10">
      <w:r w:rsidRPr="008D2FB3">
        <w:t>Dissolve (</w:t>
      </w:r>
      <w:r w:rsidRPr="008D2FB3">
        <w:rPr>
          <w:i/>
        </w:rPr>
        <w:t>R</w:t>
      </w:r>
      <w:r w:rsidRPr="008D2FB3">
        <w:t>)-Naproxen (2</w:t>
      </w:r>
      <w:r>
        <w:t xml:space="preserve"> </w:t>
      </w:r>
      <w:r w:rsidRPr="008D2FB3">
        <w:t>g) in methanol (50 m</w:t>
      </w:r>
      <w:r>
        <w:t>L</w:t>
      </w:r>
      <w:r w:rsidRPr="008D2FB3">
        <w:t>) and add H</w:t>
      </w:r>
      <w:r w:rsidRPr="008D2FB3">
        <w:rPr>
          <w:vertAlign w:val="superscript"/>
        </w:rPr>
        <w:t>+</w:t>
      </w:r>
      <w:r w:rsidRPr="008D2FB3">
        <w:t xml:space="preserve"> resin (500 mg) heat to 40 °C for 2 days or until no starting material visible by TLC. Filter the reaction mixture to remove the resin and evaporate the methanol using a rotary evaporator. Dissolve the residue in ethyl acetate (50 m</w:t>
      </w:r>
      <w:r>
        <w:t>L</w:t>
      </w:r>
      <w:r w:rsidRPr="008D2FB3">
        <w:t xml:space="preserve">) and wash with sodium </w:t>
      </w:r>
      <w:r>
        <w:t>bicarbonate solution (3 x 20 mL</w:t>
      </w:r>
      <w:r w:rsidRPr="008D2FB3">
        <w:t>), dry over MgSO</w:t>
      </w:r>
      <w:r w:rsidRPr="008D2FB3">
        <w:rPr>
          <w:vertAlign w:val="subscript"/>
        </w:rPr>
        <w:t>4</w:t>
      </w:r>
      <w:r w:rsidRPr="008D2FB3">
        <w:t xml:space="preserve"> and evaporate solvent using a rotary evaporator to give (</w:t>
      </w:r>
      <w:r w:rsidRPr="008D2FB3">
        <w:rPr>
          <w:i/>
        </w:rPr>
        <w:t>R</w:t>
      </w:r>
      <w:r w:rsidRPr="008D2FB3">
        <w:t>)-naproxen methyl ester.</w:t>
      </w:r>
    </w:p>
    <w:p w:rsidR="008B3A10" w:rsidRDefault="008B3A10" w:rsidP="008B3A10"/>
    <w:p w:rsidR="008B3A10" w:rsidRDefault="008B3A10" w:rsidP="008B3A10">
      <w:pPr>
        <w:pStyle w:val="Heading3"/>
      </w:pPr>
      <w:bookmarkStart w:id="4" w:name="_Toc446428056"/>
      <w:r>
        <w:t xml:space="preserve">Soft </w:t>
      </w:r>
      <w:proofErr w:type="spellStart"/>
      <w:r>
        <w:t>enolisation</w:t>
      </w:r>
      <w:bookmarkEnd w:id="4"/>
      <w:proofErr w:type="spellEnd"/>
    </w:p>
    <w:p w:rsidR="00983959" w:rsidRPr="00983959" w:rsidRDefault="00983959" w:rsidP="00983959"/>
    <w:p w:rsidR="00B66636" w:rsidRDefault="007344B6" w:rsidP="00B66636">
      <w:pPr>
        <w:keepNext/>
      </w:pPr>
      <w:r w:rsidRPr="008D2FB3">
        <w:object w:dxaOrig="7908" w:dyaOrig="1020">
          <v:shape id="_x0000_i1026" type="#_x0000_t75" alt="Reaction scheme for soft enolisation" style="width:394.6pt;height:51.45pt" o:ole="">
            <v:imagedata r:id="rId16" o:title=""/>
          </v:shape>
          <o:OLEObject Type="Embed" ProgID="ChemDraw.Document.6.0" ShapeID="_x0000_i1026" DrawAspect="Content" ObjectID="_1531828692" r:id="rId17"/>
        </w:object>
      </w:r>
    </w:p>
    <w:p w:rsidR="008B3A10" w:rsidRDefault="00B66636" w:rsidP="00B66636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: Reaction scheme for soft </w:t>
      </w:r>
      <w:proofErr w:type="spellStart"/>
      <w:r>
        <w:t>enolisation</w:t>
      </w:r>
      <w:proofErr w:type="spellEnd"/>
    </w:p>
    <w:p w:rsidR="008B3A10" w:rsidRDefault="008B3A10" w:rsidP="008B3A10"/>
    <w:p w:rsidR="008B3A10" w:rsidRPr="008D2FB3" w:rsidRDefault="008B3A10" w:rsidP="008B3A10">
      <w:r w:rsidRPr="008D2FB3">
        <w:t>Dissolve (</w:t>
      </w:r>
      <w:r w:rsidRPr="008D2FB3">
        <w:rPr>
          <w:i/>
        </w:rPr>
        <w:t>R</w:t>
      </w:r>
      <w:r w:rsidRPr="008D2FB3">
        <w:t>)-naproxen methyl ester (0.1</w:t>
      </w:r>
      <w:r>
        <w:t xml:space="preserve"> </w:t>
      </w:r>
      <w:r w:rsidRPr="008D2FB3">
        <w:t xml:space="preserve">g) in your solvent (2 mL) and add your base and additive. Stir at the temperature of your choice overnight. Dilute the reaction with 1M </w:t>
      </w:r>
      <w:proofErr w:type="spellStart"/>
      <w:r w:rsidRPr="008D2FB3">
        <w:t>HCl</w:t>
      </w:r>
      <w:proofErr w:type="spellEnd"/>
      <w:r w:rsidRPr="008D2FB3">
        <w:t xml:space="preserve"> (5 mL) and extract with ethyl acetate (3 x 10 mL), evaporate the ethyl acetate with a rota</w:t>
      </w:r>
      <w:r>
        <w:t xml:space="preserve">ry evaporator and measure the </w:t>
      </w:r>
      <w:proofErr w:type="spellStart"/>
      <w:r w:rsidRPr="00337008">
        <w:t>enantiomeric</w:t>
      </w:r>
      <w:proofErr w:type="spellEnd"/>
      <w:r w:rsidRPr="00337008">
        <w:t xml:space="preserve"> ratio</w:t>
      </w:r>
      <w:r>
        <w:rPr>
          <w:i/>
        </w:rPr>
        <w:t xml:space="preserve"> </w:t>
      </w:r>
      <w:r w:rsidRPr="008D2FB3">
        <w:t>of your product using optical rotation or chiral HPLC.</w:t>
      </w:r>
    </w:p>
    <w:p w:rsidR="008B3A10" w:rsidRDefault="008B3A10" w:rsidP="008B3A10">
      <w:r w:rsidRPr="008D2FB3">
        <w:lastRenderedPageBreak/>
        <w:t xml:space="preserve">Some example reagents and solvents that you may want to try are given </w:t>
      </w:r>
      <w:proofErr w:type="gramStart"/>
      <w:r w:rsidRPr="008D2FB3">
        <w:t>below,</w:t>
      </w:r>
      <w:proofErr w:type="gramEnd"/>
      <w:r w:rsidRPr="008D2FB3">
        <w:t xml:space="preserve"> however you should not restrict yourself to only using these reagents. You can choose how many equivalents of base and additive to add.</w:t>
      </w:r>
    </w:p>
    <w:p w:rsidR="008C6DC1" w:rsidRPr="008D2FB3" w:rsidRDefault="008C6DC1" w:rsidP="008B3A10"/>
    <w:p w:rsidR="00953A2C" w:rsidRDefault="00953A2C" w:rsidP="00953A2C">
      <w:pPr>
        <w:pStyle w:val="Table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R</w:t>
      </w:r>
      <w:r w:rsidRPr="00953A2C">
        <w:t xml:space="preserve">eagents and solvents for </w:t>
      </w:r>
      <w:proofErr w:type="spellStart"/>
      <w:r w:rsidRPr="00953A2C">
        <w:t>enolisation</w:t>
      </w:r>
      <w:proofErr w:type="spellEnd"/>
      <w:r>
        <w:t xml:space="preserve"> optimisation</w:t>
      </w:r>
    </w:p>
    <w:tbl>
      <w:tblPr>
        <w:tblStyle w:val="TableGrid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  <w:tblCaption w:val="Variable reagents and solvents for enolisation"/>
      </w:tblPr>
      <w:tblGrid>
        <w:gridCol w:w="2847"/>
        <w:gridCol w:w="4774"/>
        <w:gridCol w:w="1559"/>
      </w:tblGrid>
      <w:tr w:rsidR="008C6DC1" w:rsidRPr="008A6AD0" w:rsidTr="00953A2C">
        <w:trPr>
          <w:tblHeader/>
        </w:trPr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:rsidR="008C6DC1" w:rsidRPr="00B74017" w:rsidRDefault="008C6DC1" w:rsidP="00953A2C">
            <w:pPr>
              <w:rPr>
                <w:b/>
              </w:rPr>
            </w:pPr>
            <w:r w:rsidRPr="00B74017">
              <w:rPr>
                <w:b/>
              </w:rPr>
              <w:t>Solvent</w:t>
            </w:r>
          </w:p>
        </w:tc>
        <w:tc>
          <w:tcPr>
            <w:tcW w:w="4774" w:type="dxa"/>
            <w:tcBorders>
              <w:bottom w:val="single" w:sz="4" w:space="0" w:color="auto"/>
            </w:tcBorders>
            <w:vAlign w:val="center"/>
          </w:tcPr>
          <w:p w:rsidR="008C6DC1" w:rsidRPr="00B74017" w:rsidRDefault="008C6DC1" w:rsidP="00953A2C">
            <w:pPr>
              <w:rPr>
                <w:b/>
              </w:rPr>
            </w:pPr>
            <w:r w:rsidRPr="00B74017">
              <w:rPr>
                <w:b/>
              </w:rPr>
              <w:t>Base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6DC1" w:rsidRPr="00B74017" w:rsidRDefault="008C6DC1" w:rsidP="00953A2C">
            <w:pPr>
              <w:rPr>
                <w:b/>
              </w:rPr>
            </w:pPr>
            <w:r w:rsidRPr="00B74017">
              <w:rPr>
                <w:b/>
              </w:rPr>
              <w:t>Additive</w:t>
            </w:r>
          </w:p>
        </w:tc>
      </w:tr>
      <w:tr w:rsidR="008C6DC1" w:rsidRPr="00F32AE0" w:rsidTr="00953A2C">
        <w:tc>
          <w:tcPr>
            <w:tcW w:w="2847" w:type="dxa"/>
            <w:tcBorders>
              <w:top w:val="single" w:sz="4" w:space="0" w:color="auto"/>
            </w:tcBorders>
            <w:vAlign w:val="center"/>
          </w:tcPr>
          <w:p w:rsidR="008C6DC1" w:rsidRPr="008C2782" w:rsidRDefault="008C6DC1" w:rsidP="00953A2C">
            <w:r>
              <w:t>THF</w:t>
            </w:r>
          </w:p>
        </w:tc>
        <w:tc>
          <w:tcPr>
            <w:tcW w:w="4774" w:type="dxa"/>
            <w:tcBorders>
              <w:top w:val="single" w:sz="4" w:space="0" w:color="auto"/>
            </w:tcBorders>
            <w:vAlign w:val="center"/>
          </w:tcPr>
          <w:p w:rsidR="008C6DC1" w:rsidRPr="00F32AE0" w:rsidRDefault="008C6DC1" w:rsidP="00953A2C">
            <w:proofErr w:type="spellStart"/>
            <w:r>
              <w:t>Diisopropylethylamine</w:t>
            </w:r>
            <w:proofErr w:type="spellEnd"/>
            <w:r>
              <w:t>(DIPEA)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6DC1" w:rsidRPr="00F32AE0" w:rsidRDefault="008C6DC1" w:rsidP="00953A2C">
            <w:r>
              <w:t>MgBr.Et</w:t>
            </w:r>
            <w:r w:rsidRPr="008C6DC1">
              <w:rPr>
                <w:vertAlign w:val="subscript"/>
              </w:rPr>
              <w:t>2</w:t>
            </w:r>
            <w:r>
              <w:t>O</w:t>
            </w:r>
          </w:p>
        </w:tc>
      </w:tr>
      <w:tr w:rsidR="008C6DC1" w:rsidRPr="00F32AE0" w:rsidTr="00953A2C">
        <w:tc>
          <w:tcPr>
            <w:tcW w:w="2847" w:type="dxa"/>
            <w:vAlign w:val="center"/>
          </w:tcPr>
          <w:p w:rsidR="008C6DC1" w:rsidRDefault="008C6DC1" w:rsidP="00953A2C">
            <w:r>
              <w:t>Dichloromethane (DCM)</w:t>
            </w:r>
          </w:p>
        </w:tc>
        <w:tc>
          <w:tcPr>
            <w:tcW w:w="4774" w:type="dxa"/>
            <w:vAlign w:val="center"/>
          </w:tcPr>
          <w:p w:rsidR="008C6DC1" w:rsidRDefault="008C6DC1" w:rsidP="00953A2C">
            <w:proofErr w:type="spellStart"/>
            <w:r>
              <w:t>Triethylamine</w:t>
            </w:r>
            <w:proofErr w:type="spellEnd"/>
          </w:p>
        </w:tc>
        <w:tc>
          <w:tcPr>
            <w:tcW w:w="1559" w:type="dxa"/>
            <w:vAlign w:val="center"/>
          </w:tcPr>
          <w:p w:rsidR="008C6DC1" w:rsidRDefault="008C6DC1" w:rsidP="00953A2C">
            <w:proofErr w:type="spellStart"/>
            <w:r>
              <w:t>LiCl</w:t>
            </w:r>
            <w:proofErr w:type="spellEnd"/>
          </w:p>
        </w:tc>
      </w:tr>
      <w:tr w:rsidR="008C6DC1" w:rsidRPr="00F32AE0" w:rsidTr="00953A2C">
        <w:tc>
          <w:tcPr>
            <w:tcW w:w="2847" w:type="dxa"/>
            <w:vAlign w:val="center"/>
          </w:tcPr>
          <w:p w:rsidR="008C6DC1" w:rsidRPr="008C2782" w:rsidRDefault="008C6DC1" w:rsidP="00953A2C">
            <w:proofErr w:type="spellStart"/>
            <w:r>
              <w:t>MeOH</w:t>
            </w:r>
            <w:proofErr w:type="spellEnd"/>
          </w:p>
        </w:tc>
        <w:tc>
          <w:tcPr>
            <w:tcW w:w="4774" w:type="dxa"/>
            <w:vAlign w:val="center"/>
          </w:tcPr>
          <w:p w:rsidR="008C6DC1" w:rsidRPr="00F32AE0" w:rsidRDefault="008C6DC1" w:rsidP="00953A2C">
            <w:r>
              <w:t>1,8</w:t>
            </w:r>
            <w:r w:rsidR="00A776F8">
              <w:t xml:space="preserve">-diazabicyclo[5.4.0]undec-7-ene </w:t>
            </w:r>
            <w:r>
              <w:t>(DBU)</w:t>
            </w:r>
          </w:p>
        </w:tc>
        <w:tc>
          <w:tcPr>
            <w:tcW w:w="1559" w:type="dxa"/>
            <w:vAlign w:val="center"/>
          </w:tcPr>
          <w:p w:rsidR="008C6DC1" w:rsidRPr="00F32AE0" w:rsidRDefault="008C6DC1" w:rsidP="00953A2C"/>
        </w:tc>
      </w:tr>
    </w:tbl>
    <w:p w:rsidR="00A776F8" w:rsidRDefault="00A776F8" w:rsidP="00573F45"/>
    <w:p w:rsidR="00E37FEB" w:rsidRDefault="00573F45" w:rsidP="00573F45">
      <w:r w:rsidRPr="008D2FB3">
        <w:t>Once you have found your optimised conditions scale up the reaction to a 10</w:t>
      </w:r>
      <w:r w:rsidR="001434D7">
        <w:t xml:space="preserve"> </w:t>
      </w:r>
      <w:r w:rsidRPr="008D2FB3">
        <w:t xml:space="preserve">g scale. Check the purity by NMR and purify by </w:t>
      </w:r>
      <w:proofErr w:type="spellStart"/>
      <w:r w:rsidRPr="008D2FB3">
        <w:t>recrystallisation</w:t>
      </w:r>
      <w:proofErr w:type="spellEnd"/>
      <w:r w:rsidRPr="008D2FB3">
        <w:t xml:space="preserve"> from methanol if necessary. Full analysis is needed: NMR, IR, </w:t>
      </w:r>
      <w:proofErr w:type="spellStart"/>
      <w:r w:rsidR="00983959">
        <w:t>mp</w:t>
      </w:r>
      <w:proofErr w:type="spellEnd"/>
      <w:r w:rsidRPr="008D2FB3">
        <w:t>, optical rotation and chiral HPLC.</w:t>
      </w:r>
    </w:p>
    <w:p w:rsidR="00983959" w:rsidRDefault="00983959" w:rsidP="00573F45"/>
    <w:p w:rsidR="00983959" w:rsidRDefault="00983959" w:rsidP="00983959">
      <w:pPr>
        <w:pStyle w:val="Heading3"/>
      </w:pPr>
      <w:bookmarkStart w:id="5" w:name="_Toc446428057"/>
      <w:r>
        <w:t>Enzymatic resolution</w:t>
      </w:r>
      <w:bookmarkEnd w:id="5"/>
    </w:p>
    <w:p w:rsidR="00983959" w:rsidRPr="00983959" w:rsidRDefault="00983959" w:rsidP="00983959"/>
    <w:p w:rsidR="00B66636" w:rsidRDefault="007344B6" w:rsidP="00B66636">
      <w:pPr>
        <w:keepNext/>
      </w:pPr>
      <w:r w:rsidRPr="008D2FB3">
        <w:object w:dxaOrig="7714" w:dyaOrig="1037">
          <v:shape id="_x0000_i1027" type="#_x0000_t75" alt="Reaction scheme for enzymatic resolution" style="width:385.25pt;height:51.45pt" o:ole="">
            <v:imagedata r:id="rId18" o:title=""/>
          </v:shape>
          <o:OLEObject Type="Embed" ProgID="ChemDraw.Document.6.0" ShapeID="_x0000_i1027" DrawAspect="Content" ObjectID="_1531828693" r:id="rId19"/>
        </w:object>
      </w:r>
    </w:p>
    <w:p w:rsidR="00983959" w:rsidRDefault="00B66636" w:rsidP="00B66636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>
        <w:t>: Reaction scheme for enzymatic resolution</w:t>
      </w:r>
    </w:p>
    <w:p w:rsidR="00983959" w:rsidRDefault="00983959" w:rsidP="00983959"/>
    <w:p w:rsidR="00983959" w:rsidRDefault="00983959" w:rsidP="00983959">
      <w:r w:rsidRPr="008D2FB3">
        <w:t>Suspend racemic naproxen methyl ester (0.1</w:t>
      </w:r>
      <w:r>
        <w:t xml:space="preserve"> </w:t>
      </w:r>
      <w:r w:rsidRPr="008D2FB3">
        <w:t>g) in 4 mL of your solvent, add 100</w:t>
      </w:r>
      <w:r>
        <w:t xml:space="preserve"> </w:t>
      </w:r>
      <w:r w:rsidRPr="008D2FB3">
        <w:t>mg of enzyme and stir at the temperature of your choice for 2 days. Dilute the reaction with 1</w:t>
      </w:r>
      <w:r>
        <w:t xml:space="preserve"> </w:t>
      </w:r>
      <w:r w:rsidRPr="008D2FB3">
        <w:t xml:space="preserve">M </w:t>
      </w:r>
      <w:proofErr w:type="spellStart"/>
      <w:r w:rsidRPr="008D2FB3">
        <w:t>HCl</w:t>
      </w:r>
      <w:proofErr w:type="spellEnd"/>
      <w:r w:rsidRPr="008D2FB3">
        <w:t xml:space="preserve"> (10</w:t>
      </w:r>
      <w:r>
        <w:t xml:space="preserve"> </w:t>
      </w:r>
      <w:r w:rsidRPr="008D2FB3">
        <w:t xml:space="preserve">mL) and extract with ethyl acetate (3 x 10 mL). Wash the ethyl acetate layers with sodium bicarbonate solution (3 x 10 mL) remove the ethyl acetate using a rotary evaporator and analyse the </w:t>
      </w:r>
      <w:proofErr w:type="spellStart"/>
      <w:r>
        <w:t>enantiomeric</w:t>
      </w:r>
      <w:proofErr w:type="spellEnd"/>
      <w:r>
        <w:t xml:space="preserve"> ratio</w:t>
      </w:r>
      <w:r w:rsidRPr="008D2FB3">
        <w:t xml:space="preserve"> of the residue by optical rotation or chiral HPLC. Combine the sodium bicarbonate solutions used for washing and acidify them by addition of c</w:t>
      </w:r>
      <w:r>
        <w:t xml:space="preserve">oncentrated </w:t>
      </w:r>
      <w:proofErr w:type="spellStart"/>
      <w:r w:rsidRPr="008D2FB3">
        <w:t>HCl</w:t>
      </w:r>
      <w:proofErr w:type="spellEnd"/>
      <w:r w:rsidRPr="008D2FB3">
        <w:t xml:space="preserve"> (add a few drops at a time until the solution is acidic to pH paper). Extract the aqueous layers with ethyl acetate (3 x 10</w:t>
      </w:r>
      <w:r>
        <w:t xml:space="preserve"> </w:t>
      </w:r>
      <w:r w:rsidRPr="008D2FB3">
        <w:t xml:space="preserve">mL), evaporate the ethyl acetate on a rotary evaporator and analyse the </w:t>
      </w:r>
      <w:proofErr w:type="spellStart"/>
      <w:r>
        <w:t>enantiomeric</w:t>
      </w:r>
      <w:proofErr w:type="spellEnd"/>
      <w:r>
        <w:t xml:space="preserve"> ratio</w:t>
      </w:r>
      <w:r w:rsidRPr="008D2FB3">
        <w:t xml:space="preserve"> of the residue by optical rotation or chiral HPLC.</w:t>
      </w:r>
    </w:p>
    <w:p w:rsidR="00983959" w:rsidRPr="008D2FB3" w:rsidRDefault="00983959" w:rsidP="00983959">
      <w:pPr>
        <w:pStyle w:val="Bullets"/>
      </w:pPr>
      <w:r w:rsidRPr="008D2FB3">
        <w:t>Solvent choice</w:t>
      </w:r>
      <w:r>
        <w:t xml:space="preserve"> </w:t>
      </w:r>
      <w:r w:rsidR="00F900C0">
        <w:t>–</w:t>
      </w:r>
      <w:r>
        <w:t xml:space="preserve"> </w:t>
      </w:r>
      <w:r w:rsidRPr="008D2FB3">
        <w:t xml:space="preserve">phosphate buffer or water </w:t>
      </w:r>
    </w:p>
    <w:p w:rsidR="00983959" w:rsidRDefault="00983959" w:rsidP="00983959">
      <w:pPr>
        <w:pStyle w:val="Bullets"/>
        <w:rPr>
          <w:i/>
        </w:rPr>
      </w:pPr>
      <w:r>
        <w:t xml:space="preserve">Available enzymes </w:t>
      </w:r>
      <w:r w:rsidR="00F900C0">
        <w:t>–</w:t>
      </w:r>
      <w:r w:rsidRPr="008D2FB3">
        <w:t xml:space="preserve"> </w:t>
      </w:r>
      <w:proofErr w:type="spellStart"/>
      <w:r w:rsidRPr="008D2FB3">
        <w:rPr>
          <w:i/>
        </w:rPr>
        <w:t>Burkholderia</w:t>
      </w:r>
      <w:proofErr w:type="spellEnd"/>
      <w:r w:rsidRPr="008D2FB3">
        <w:rPr>
          <w:i/>
        </w:rPr>
        <w:t xml:space="preserve"> </w:t>
      </w:r>
      <w:proofErr w:type="spellStart"/>
      <w:r w:rsidRPr="008D2FB3">
        <w:rPr>
          <w:i/>
        </w:rPr>
        <w:t>Cepacia</w:t>
      </w:r>
      <w:proofErr w:type="spellEnd"/>
      <w:r w:rsidRPr="008D2FB3">
        <w:t>,</w:t>
      </w:r>
      <w:r w:rsidRPr="008D2FB3">
        <w:rPr>
          <w:i/>
        </w:rPr>
        <w:t xml:space="preserve"> Candida </w:t>
      </w:r>
      <w:proofErr w:type="spellStart"/>
      <w:r w:rsidRPr="008D2FB3">
        <w:rPr>
          <w:i/>
        </w:rPr>
        <w:t>Rugosa</w:t>
      </w:r>
      <w:proofErr w:type="spellEnd"/>
      <w:r w:rsidRPr="008D2FB3">
        <w:t>,</w:t>
      </w:r>
      <w:r w:rsidRPr="008D2FB3">
        <w:rPr>
          <w:i/>
        </w:rPr>
        <w:t xml:space="preserve"> Candida </w:t>
      </w:r>
      <w:proofErr w:type="spellStart"/>
      <w:r w:rsidRPr="008D2FB3">
        <w:rPr>
          <w:i/>
        </w:rPr>
        <w:t>Cylindracea</w:t>
      </w:r>
      <w:proofErr w:type="spellEnd"/>
      <w:r w:rsidRPr="008D2FB3">
        <w:t>,</w:t>
      </w:r>
      <w:r w:rsidRPr="008D2FB3">
        <w:rPr>
          <w:i/>
        </w:rPr>
        <w:t xml:space="preserve"> </w:t>
      </w:r>
      <w:proofErr w:type="spellStart"/>
      <w:r w:rsidRPr="008D2FB3">
        <w:rPr>
          <w:i/>
        </w:rPr>
        <w:t>Psudemonas</w:t>
      </w:r>
      <w:proofErr w:type="spellEnd"/>
      <w:r w:rsidRPr="008D2FB3">
        <w:rPr>
          <w:i/>
        </w:rPr>
        <w:t xml:space="preserve"> </w:t>
      </w:r>
      <w:proofErr w:type="spellStart"/>
      <w:r w:rsidRPr="008D2FB3">
        <w:rPr>
          <w:i/>
        </w:rPr>
        <w:t>Fluorescens</w:t>
      </w:r>
      <w:proofErr w:type="spellEnd"/>
      <w:r w:rsidRPr="008D2FB3">
        <w:t>,</w:t>
      </w:r>
      <w:r w:rsidRPr="008D2FB3">
        <w:rPr>
          <w:i/>
        </w:rPr>
        <w:t xml:space="preserve"> Porcine Pancreas</w:t>
      </w:r>
    </w:p>
    <w:p w:rsidR="00983959" w:rsidRDefault="00983959" w:rsidP="00983959">
      <w:pPr>
        <w:pStyle w:val="Bullets"/>
      </w:pPr>
      <w:r w:rsidRPr="008D2FB3">
        <w:t>Optional a</w:t>
      </w:r>
      <w:r>
        <w:t xml:space="preserve">dditive </w:t>
      </w:r>
      <w:r w:rsidR="00F900C0">
        <w:t>–</w:t>
      </w:r>
      <w:r w:rsidRPr="008D2FB3">
        <w:t xml:space="preserve"> water miscible solvents</w:t>
      </w:r>
    </w:p>
    <w:p w:rsidR="00CB54AD" w:rsidRDefault="00983959" w:rsidP="00983959">
      <w:r w:rsidRPr="008D2FB3">
        <w:lastRenderedPageBreak/>
        <w:t>Once you have found your optimised conditions scale up your reaction using the mat</w:t>
      </w:r>
      <w:r>
        <w:t xml:space="preserve">erial from your scaled up </w:t>
      </w:r>
      <w:proofErr w:type="spellStart"/>
      <w:r>
        <w:t>enolis</w:t>
      </w:r>
      <w:r w:rsidRPr="008D2FB3">
        <w:t>ation</w:t>
      </w:r>
      <w:proofErr w:type="spellEnd"/>
      <w:r w:rsidRPr="008D2FB3">
        <w:t>. Check the purity of your (</w:t>
      </w:r>
      <w:r w:rsidRPr="008D2FB3">
        <w:rPr>
          <w:i/>
        </w:rPr>
        <w:t>S</w:t>
      </w:r>
      <w:r w:rsidRPr="008D2FB3">
        <w:t>)-</w:t>
      </w:r>
      <w:r>
        <w:t>n</w:t>
      </w:r>
      <w:r w:rsidRPr="008D2FB3">
        <w:t xml:space="preserve">aproxen by NMR and purify by </w:t>
      </w:r>
      <w:proofErr w:type="spellStart"/>
      <w:r w:rsidRPr="008D2FB3">
        <w:t>recrystallisation</w:t>
      </w:r>
      <w:proofErr w:type="spellEnd"/>
      <w:r w:rsidRPr="008D2FB3">
        <w:t xml:space="preserve"> from toluene if necessary. Full analysis is needed: NMR, IR, </w:t>
      </w:r>
      <w:proofErr w:type="spellStart"/>
      <w:r w:rsidRPr="008D2FB3">
        <w:t>mp</w:t>
      </w:r>
      <w:proofErr w:type="spellEnd"/>
      <w:r w:rsidRPr="008D2FB3">
        <w:t>, optical rotation and chiral HPLC.</w:t>
      </w:r>
    </w:p>
    <w:p w:rsidR="008C6DC1" w:rsidRDefault="008C6DC1" w:rsidP="008C6DC1">
      <w:pPr>
        <w:pStyle w:val="Leadparagraph"/>
        <w:rPr>
          <w:rFonts w:eastAsiaTheme="majorEastAsia"/>
          <w:color w:val="2C4D67"/>
          <w:sz w:val="26"/>
          <w:szCs w:val="22"/>
        </w:rPr>
      </w:pPr>
      <w:r>
        <w:br w:type="page"/>
      </w:r>
    </w:p>
    <w:p w:rsidR="00AC6AB5" w:rsidRDefault="00CB54AD" w:rsidP="00AC6AB5">
      <w:pPr>
        <w:pStyle w:val="Heading3"/>
      </w:pPr>
      <w:bookmarkStart w:id="6" w:name="_Toc446428058"/>
      <w:r>
        <w:lastRenderedPageBreak/>
        <w:t xml:space="preserve">Calculating </w:t>
      </w:r>
      <w:proofErr w:type="spellStart"/>
      <w:r w:rsidR="00AC6AB5">
        <w:t>enantiomeric</w:t>
      </w:r>
      <w:proofErr w:type="spellEnd"/>
      <w:r>
        <w:t xml:space="preserve"> excess (</w:t>
      </w:r>
      <w:proofErr w:type="spellStart"/>
      <w:r>
        <w:t>ee</w:t>
      </w:r>
      <w:proofErr w:type="spellEnd"/>
      <w:r>
        <w:t xml:space="preserve">) and </w:t>
      </w:r>
      <w:proofErr w:type="spellStart"/>
      <w:r>
        <w:t>enantiomeric</w:t>
      </w:r>
      <w:proofErr w:type="spellEnd"/>
      <w:r>
        <w:t xml:space="preserve"> ratio </w:t>
      </w:r>
      <w:r w:rsidR="00AC6AB5">
        <w:t>by optical rotation</w:t>
      </w:r>
      <w:bookmarkEnd w:id="6"/>
    </w:p>
    <w:p w:rsidR="00AC6AB5" w:rsidRPr="008D2FB3" w:rsidRDefault="00AC6AB5" w:rsidP="00AC6AB5">
      <w:r w:rsidRPr="008D2FB3">
        <w:t xml:space="preserve">Read the instructions for the </w:t>
      </w:r>
      <w:proofErr w:type="spellStart"/>
      <w:r w:rsidRPr="008D2FB3">
        <w:t>polarimeter</w:t>
      </w:r>
      <w:proofErr w:type="spellEnd"/>
      <w:r w:rsidRPr="008D2FB3">
        <w:t xml:space="preserve"> carefully. </w:t>
      </w:r>
    </w:p>
    <w:p w:rsidR="00AC6AB5" w:rsidRPr="008D2FB3" w:rsidRDefault="00AC6AB5" w:rsidP="00AC6AB5">
      <w:r w:rsidRPr="008D2FB3">
        <w:t>Make up a 1</w:t>
      </w:r>
      <w:r>
        <w:t xml:space="preserve"> g/mL</w:t>
      </w:r>
      <w:r w:rsidRPr="008D2FB3">
        <w:t xml:space="preserve"> solution of your sample in chloroform. Weigh your sample carefully</w:t>
      </w:r>
    </w:p>
    <w:p w:rsidR="00AC6AB5" w:rsidRPr="008D2FB3" w:rsidRDefault="00AC6AB5" w:rsidP="00AC6AB5">
      <w:r w:rsidRPr="008D2FB3">
        <w:t>Record the rotation in degrees and use the following formula to calculate the specific rotation:</w:t>
      </w:r>
    </w:p>
    <w:p w:rsidR="00AC6AB5" w:rsidRPr="008D2FB3" w:rsidRDefault="005A4239" w:rsidP="00AC6AB5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∝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∝</m:t>
              </m:r>
            </m:num>
            <m:den>
              <m:r>
                <w:rPr>
                  <w:rFonts w:ascii="Cambria Math" w:hAnsi="Cambria Math"/>
                </w:rPr>
                <m:t>l×c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measured rotation</m:t>
              </m:r>
            </m:num>
            <m:den>
              <m:r>
                <w:rPr>
                  <w:rFonts w:ascii="Cambria Math" w:hAnsi="Cambria Math"/>
                </w:rPr>
                <m:t>path length×concentration</m:t>
              </m:r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:rsidR="00AC6AB5" w:rsidRPr="008D2FB3" w:rsidRDefault="00AC6AB5" w:rsidP="00AC6AB5">
      <w:pPr>
        <w:rPr>
          <w:rFonts w:eastAsiaTheme="minorEastAsia"/>
        </w:rPr>
      </w:pPr>
      <w:r w:rsidRPr="008D2FB3">
        <w:rPr>
          <w:rFonts w:eastAsiaTheme="minorEastAsia"/>
          <w:i/>
        </w:rPr>
        <w:t>T</w:t>
      </w:r>
      <w:r w:rsidRPr="008D2FB3">
        <w:rPr>
          <w:rFonts w:eastAsiaTheme="minorEastAsia"/>
        </w:rPr>
        <w:t xml:space="preserve"> is the temperature and </w:t>
      </w:r>
      <w:r w:rsidRPr="008D2FB3">
        <w:rPr>
          <w:rFonts w:eastAsiaTheme="minorEastAsia"/>
          <w:i/>
        </w:rPr>
        <w:t xml:space="preserve">D </w:t>
      </w:r>
      <w:r w:rsidRPr="008D2FB3">
        <w:rPr>
          <w:rFonts w:eastAsiaTheme="minorEastAsia"/>
        </w:rPr>
        <w:t xml:space="preserve">means a wavelength of 589 nm was used. The rotation is given in degrees, the path length in </w:t>
      </w:r>
      <w:proofErr w:type="spellStart"/>
      <w:r w:rsidRPr="008D2FB3">
        <w:rPr>
          <w:rFonts w:eastAsiaTheme="minorEastAsia"/>
        </w:rPr>
        <w:t>dm</w:t>
      </w:r>
      <w:proofErr w:type="spellEnd"/>
      <w:r w:rsidRPr="008D2FB3">
        <w:rPr>
          <w:rFonts w:eastAsiaTheme="minorEastAsia"/>
        </w:rPr>
        <w:t xml:space="preserve"> and the concentration in g/</w:t>
      </w:r>
      <w:proofErr w:type="spellStart"/>
      <w:r w:rsidRPr="008D2FB3">
        <w:rPr>
          <w:rFonts w:eastAsiaTheme="minorEastAsia"/>
        </w:rPr>
        <w:t>m</w:t>
      </w:r>
      <w:r>
        <w:rPr>
          <w:rFonts w:eastAsiaTheme="minorEastAsia"/>
        </w:rPr>
        <w:t>L</w:t>
      </w:r>
      <w:r w:rsidRPr="008D2FB3">
        <w:rPr>
          <w:rFonts w:eastAsiaTheme="minorEastAsia"/>
        </w:rPr>
        <w:t>.</w:t>
      </w:r>
      <w:proofErr w:type="spellEnd"/>
    </w:p>
    <w:p w:rsidR="00AC6AB5" w:rsidRPr="008D2FB3" w:rsidRDefault="00AC6AB5" w:rsidP="00AC6AB5">
      <w:pPr>
        <w:rPr>
          <w:rFonts w:eastAsiaTheme="minorEastAsia"/>
        </w:rPr>
      </w:pPr>
      <w:r w:rsidRPr="008D2FB3">
        <w:rPr>
          <w:rFonts w:eastAsiaTheme="minorEastAsia"/>
        </w:rPr>
        <w:t xml:space="preserve">Calculate the </w:t>
      </w:r>
      <w:proofErr w:type="spellStart"/>
      <w:r w:rsidRPr="00F8591F">
        <w:rPr>
          <w:rFonts w:eastAsiaTheme="minorEastAsia"/>
          <w:i/>
        </w:rPr>
        <w:t>ee</w:t>
      </w:r>
      <w:proofErr w:type="spellEnd"/>
      <w:r w:rsidRPr="008D2FB3">
        <w:rPr>
          <w:rFonts w:eastAsiaTheme="minorEastAsia"/>
        </w:rPr>
        <w:t xml:space="preserve"> of your sample using the following equation:</w:t>
      </w:r>
      <w:r>
        <w:rPr>
          <w:rFonts w:eastAsiaTheme="minorEastAsia"/>
        </w:rPr>
        <w:br/>
      </w:r>
    </w:p>
    <w:p w:rsidR="00AC6AB5" w:rsidRPr="008D2FB3" w:rsidRDefault="00AC6AB5" w:rsidP="00AC6AB5">
      <m:oMathPara>
        <m:oMath>
          <m:r>
            <w:rPr>
              <w:rFonts w:ascii="Cambria Math" w:hAnsi="Cambria Math"/>
            </w:rPr>
            <m:t>ee=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100×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∝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of your sample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∝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 xml:space="preserve"> of pure sample</m:t>
              </m:r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:rsidR="00AC6AB5" w:rsidRPr="008D2FB3" w:rsidRDefault="00AC6AB5" w:rsidP="00AC6AB5">
      <w:r w:rsidRPr="008D2FB3">
        <w:t>For (</w:t>
      </w:r>
      <w:r w:rsidRPr="008D2FB3">
        <w:rPr>
          <w:i/>
        </w:rPr>
        <w:t>R</w:t>
      </w:r>
      <w:r>
        <w:t>)-n</w:t>
      </w:r>
      <w:r w:rsidRPr="008D2FB3">
        <w:t>aproxen methyl ester [α</w:t>
      </w:r>
      <w:proofErr w:type="gramStart"/>
      <w:r w:rsidRPr="008D2FB3">
        <w:t>]</w:t>
      </w:r>
      <w:r w:rsidRPr="008D2FB3">
        <w:rPr>
          <w:vertAlign w:val="subscript"/>
        </w:rPr>
        <w:t>D</w:t>
      </w:r>
      <w:r w:rsidRPr="008D2FB3">
        <w:rPr>
          <w:vertAlign w:val="superscript"/>
        </w:rPr>
        <w:t>25</w:t>
      </w:r>
      <w:proofErr w:type="gramEnd"/>
      <w:r w:rsidRPr="008D2FB3">
        <w:t xml:space="preserve"> 74.0 (c 1.00, CHCl</w:t>
      </w:r>
      <w:r w:rsidRPr="008D2FB3">
        <w:rPr>
          <w:vertAlign w:val="subscript"/>
        </w:rPr>
        <w:t>3</w:t>
      </w:r>
      <w:r w:rsidRPr="008D2FB3">
        <w:t>)</w:t>
      </w:r>
    </w:p>
    <w:p w:rsidR="00AC6AB5" w:rsidRPr="008D2FB3" w:rsidRDefault="00AC6AB5" w:rsidP="00AC6AB5">
      <w:r w:rsidRPr="008D2FB3">
        <w:t>For pure (</w:t>
      </w:r>
      <w:r w:rsidRPr="008D2FB3">
        <w:rPr>
          <w:i/>
        </w:rPr>
        <w:t>S</w:t>
      </w:r>
      <w:r>
        <w:t>)-n</w:t>
      </w:r>
      <w:r w:rsidRPr="008D2FB3">
        <w:t>aproxen [α</w:t>
      </w:r>
      <w:proofErr w:type="gramStart"/>
      <w:r w:rsidRPr="008D2FB3">
        <w:t>]</w:t>
      </w:r>
      <w:r w:rsidRPr="008D2FB3">
        <w:rPr>
          <w:vertAlign w:val="subscript"/>
        </w:rPr>
        <w:t>D</w:t>
      </w:r>
      <w:r w:rsidRPr="008D2FB3">
        <w:rPr>
          <w:vertAlign w:val="superscript"/>
        </w:rPr>
        <w:t>25</w:t>
      </w:r>
      <w:proofErr w:type="gramEnd"/>
      <w:r w:rsidRPr="008D2FB3">
        <w:t xml:space="preserve"> + 66.0 (c 1.00, CHCl</w:t>
      </w:r>
      <w:r w:rsidRPr="008D2FB3">
        <w:rPr>
          <w:vertAlign w:val="subscript"/>
        </w:rPr>
        <w:t>3</w:t>
      </w:r>
      <w:r w:rsidRPr="008D2FB3">
        <w:t>)</w:t>
      </w:r>
    </w:p>
    <w:p w:rsidR="00AC6AB5" w:rsidRPr="008D2FB3" w:rsidRDefault="00AC6AB5" w:rsidP="00AC6AB5">
      <w:pPr>
        <w:pStyle w:val="EndnoteText"/>
        <w:spacing w:before="120" w:line="276" w:lineRule="auto"/>
        <w:rPr>
          <w:rFonts w:ascii="Arial" w:hAnsi="Arial" w:cs="Arial"/>
          <w:sz w:val="24"/>
          <w:szCs w:val="24"/>
        </w:rPr>
      </w:pPr>
      <w:r w:rsidRPr="008D2FB3">
        <w:rPr>
          <w:rFonts w:ascii="Arial" w:hAnsi="Arial" w:cs="Arial"/>
          <w:sz w:val="24"/>
          <w:szCs w:val="24"/>
        </w:rPr>
        <w:t>J. Med. Chem., 1970, 13, 203</w:t>
      </w:r>
    </w:p>
    <w:p w:rsidR="00AC6AB5" w:rsidRDefault="00AC6AB5" w:rsidP="00AC6AB5">
      <w:pPr>
        <w:pStyle w:val="EndnoteText"/>
        <w:rPr>
          <w:rFonts w:ascii="Arial" w:hAnsi="Arial" w:cs="Arial"/>
          <w:sz w:val="24"/>
          <w:szCs w:val="24"/>
        </w:rPr>
      </w:pPr>
    </w:p>
    <w:p w:rsidR="00AC6AB5" w:rsidRDefault="00AC6AB5" w:rsidP="00AC6AB5">
      <w:pPr>
        <w:rPr>
          <w:szCs w:val="24"/>
        </w:rPr>
      </w:pPr>
      <w:r>
        <w:rPr>
          <w:szCs w:val="24"/>
        </w:rPr>
        <w:t xml:space="preserve">Note: Using the </w:t>
      </w:r>
      <w:proofErr w:type="spellStart"/>
      <w:r>
        <w:rPr>
          <w:szCs w:val="24"/>
        </w:rPr>
        <w:t>enantiomeric</w:t>
      </w:r>
      <w:proofErr w:type="spellEnd"/>
      <w:r>
        <w:rPr>
          <w:szCs w:val="24"/>
        </w:rPr>
        <w:t xml:space="preserve"> excess value obtained, the </w:t>
      </w:r>
      <w:proofErr w:type="spellStart"/>
      <w:r>
        <w:rPr>
          <w:szCs w:val="24"/>
        </w:rPr>
        <w:t>enantiomeric</w:t>
      </w:r>
      <w:proofErr w:type="spellEnd"/>
      <w:r>
        <w:rPr>
          <w:szCs w:val="24"/>
        </w:rPr>
        <w:t xml:space="preserve"> ratio can be calculated.</w:t>
      </w:r>
    </w:p>
    <w:p w:rsidR="00AC6AB5" w:rsidRDefault="00AC6AB5" w:rsidP="00AC6AB5">
      <w:pPr>
        <w:rPr>
          <w:szCs w:val="24"/>
        </w:rPr>
      </w:pPr>
    </w:p>
    <w:p w:rsidR="00AC6AB5" w:rsidRDefault="00AC6AB5" w:rsidP="00AC6AB5">
      <w:pPr>
        <w:pStyle w:val="Heading3"/>
      </w:pPr>
      <w:bookmarkStart w:id="7" w:name="_Toc446428059"/>
      <w:r>
        <w:t>Preparing samples for HPLC</w:t>
      </w:r>
      <w:bookmarkEnd w:id="7"/>
    </w:p>
    <w:p w:rsidR="00AC6AB5" w:rsidRDefault="00AC6AB5" w:rsidP="00AC6AB5">
      <w:r>
        <w:t>Take 5 mg of your pure product and dissolved it in 1 mL of the relevant HPLC eluent in a vial with a septum cap.</w:t>
      </w:r>
    </w:p>
    <w:p w:rsidR="00AC6AB5" w:rsidRDefault="00AC6AB5" w:rsidP="00AC6AB5">
      <w:r>
        <w:t xml:space="preserve"> Eluent for naproxen analysis – 10:90 isopropanol/hexane</w:t>
      </w:r>
    </w:p>
    <w:p w:rsidR="00AC6AB5" w:rsidRPr="00AC6AB5" w:rsidRDefault="00AC6AB5" w:rsidP="00AC6AB5">
      <w:r>
        <w:t xml:space="preserve"> Eluent for naproxen methyl ester analysis –</w:t>
      </w:r>
      <w:r w:rsidR="002F531E">
        <w:t xml:space="preserve"> </w:t>
      </w:r>
      <w:r>
        <w:t>2:98 isopropanol/hexane</w:t>
      </w:r>
    </w:p>
    <w:p w:rsidR="002867FB" w:rsidRDefault="002867FB">
      <w:pPr>
        <w:keepLines w:val="0"/>
        <w:spacing w:before="200" w:after="0"/>
        <w:rPr>
          <w:rFonts w:eastAsiaTheme="majorEastAsia"/>
          <w:b/>
          <w:bCs/>
          <w:color w:val="2C4D67"/>
          <w:sz w:val="26"/>
          <w:szCs w:val="22"/>
        </w:rPr>
        <w:sectPr w:rsidR="002867FB" w:rsidSect="00E331A7">
          <w:footerReference w:type="first" r:id="rId20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2867FB" w:rsidRDefault="00B91164" w:rsidP="002867FB">
      <w:pPr>
        <w:pStyle w:val="Heading2"/>
      </w:pPr>
      <w:bookmarkStart w:id="8" w:name="_Toc446428060"/>
      <w:r>
        <w:lastRenderedPageBreak/>
        <w:t>S</w:t>
      </w:r>
      <w:r w:rsidR="002867FB">
        <w:t>pectra</w:t>
      </w:r>
      <w:bookmarkEnd w:id="8"/>
    </w:p>
    <w:p w:rsidR="00B91164" w:rsidRDefault="00B91164" w:rsidP="00A776F8">
      <w:pPr>
        <w:pStyle w:val="Heading3"/>
      </w:pPr>
      <w:bookmarkStart w:id="9" w:name="_Toc446428061"/>
      <w:r w:rsidRPr="00B91164">
        <w:rPr>
          <w:vertAlign w:val="superscript"/>
        </w:rPr>
        <w:t>1</w:t>
      </w:r>
      <w:r>
        <w:t xml:space="preserve">H NMR </w:t>
      </w:r>
      <w:r w:rsidR="00F900C0">
        <w:t>–</w:t>
      </w:r>
      <w:r>
        <w:t xml:space="preserve"> Naproxen</w:t>
      </w:r>
      <w:bookmarkEnd w:id="9"/>
    </w:p>
    <w:p w:rsidR="00B91164" w:rsidRDefault="00B91164" w:rsidP="00B91164">
      <w:r>
        <w:rPr>
          <w:noProof/>
          <w:lang w:eastAsia="en-GB"/>
        </w:rPr>
        <w:drawing>
          <wp:inline distT="0" distB="0" distL="0" distR="0" wp14:anchorId="1C4BDC64" wp14:editId="2552BB80">
            <wp:extent cx="7105650" cy="4957477"/>
            <wp:effectExtent l="0" t="0" r="0" b="0"/>
            <wp:docPr id="7" name="Picture 7" title="Proton NMR spectrum of naprox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4957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164" w:rsidRPr="00B91164" w:rsidRDefault="00B91164" w:rsidP="00A776F8">
      <w:pPr>
        <w:pStyle w:val="Heading3"/>
      </w:pPr>
      <w:bookmarkStart w:id="10" w:name="_Toc446428062"/>
      <w:r w:rsidRPr="00B91164">
        <w:rPr>
          <w:vertAlign w:val="superscript"/>
        </w:rPr>
        <w:lastRenderedPageBreak/>
        <w:t>13</w:t>
      </w:r>
      <w:r>
        <w:t xml:space="preserve">C NMR </w:t>
      </w:r>
      <w:r w:rsidR="00F900C0">
        <w:t>–</w:t>
      </w:r>
      <w:r>
        <w:t xml:space="preserve"> Naproxen</w:t>
      </w:r>
      <w:bookmarkEnd w:id="10"/>
    </w:p>
    <w:p w:rsidR="001D1E2A" w:rsidRDefault="00B91164" w:rsidP="00B91164">
      <w:pPr>
        <w:keepLines w:val="0"/>
        <w:spacing w:before="200" w:after="0"/>
      </w:pPr>
      <w:r>
        <w:rPr>
          <w:noProof/>
          <w:lang w:eastAsia="en-GB"/>
        </w:rPr>
        <w:drawing>
          <wp:inline distT="0" distB="0" distL="0" distR="0" wp14:anchorId="7F5D5F89">
            <wp:extent cx="7734300" cy="5402892"/>
            <wp:effectExtent l="0" t="0" r="0" b="0"/>
            <wp:docPr id="8" name="Picture 8" title="Carbon NMR spectrum of naprox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691" cy="5408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164" w:rsidRDefault="00B91164" w:rsidP="00A776F8">
      <w:pPr>
        <w:pStyle w:val="Heading3"/>
      </w:pPr>
      <w:bookmarkStart w:id="11" w:name="_Toc446428063"/>
      <w:r>
        <w:lastRenderedPageBreak/>
        <w:t>FTIR – Naproxen</w:t>
      </w:r>
      <w:bookmarkEnd w:id="11"/>
    </w:p>
    <w:p w:rsidR="00B91164" w:rsidRDefault="00B91164" w:rsidP="00B91164">
      <w:pPr>
        <w:keepLines w:val="0"/>
        <w:spacing w:before="200" w:after="0"/>
      </w:pPr>
      <w:r>
        <w:rPr>
          <w:noProof/>
          <w:lang w:eastAsia="en-GB"/>
        </w:rPr>
        <w:drawing>
          <wp:inline distT="0" distB="0" distL="0" distR="0" wp14:anchorId="253E46B6">
            <wp:extent cx="8698727" cy="5400889"/>
            <wp:effectExtent l="0" t="0" r="7620" b="0"/>
            <wp:docPr id="9" name="Picture 9" title="IR spectrum of naprox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16"/>
                    <a:stretch/>
                  </pic:blipFill>
                  <pic:spPr bwMode="auto">
                    <a:xfrm>
                      <a:off x="0" y="0"/>
                      <a:ext cx="8702400" cy="54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1164" w:rsidRDefault="00B91164" w:rsidP="00A776F8">
      <w:pPr>
        <w:pStyle w:val="Heading3"/>
      </w:pPr>
      <w:bookmarkStart w:id="12" w:name="_Toc446428064"/>
      <w:r w:rsidRPr="00B91164">
        <w:rPr>
          <w:vertAlign w:val="superscript"/>
        </w:rPr>
        <w:lastRenderedPageBreak/>
        <w:t>1</w:t>
      </w:r>
      <w:r>
        <w:t>H NMR – Naproxen methyl ester</w:t>
      </w:r>
      <w:bookmarkEnd w:id="12"/>
    </w:p>
    <w:p w:rsidR="00B91164" w:rsidRDefault="00B91164" w:rsidP="00B91164">
      <w:r>
        <w:rPr>
          <w:noProof/>
          <w:lang w:eastAsia="en-GB"/>
        </w:rPr>
        <w:drawing>
          <wp:inline distT="0" distB="0" distL="0" distR="0" wp14:anchorId="63B4C6A5">
            <wp:extent cx="7867650" cy="5496045"/>
            <wp:effectExtent l="0" t="0" r="0" b="0"/>
            <wp:docPr id="10" name="Picture 10" title="Proton NMR spectrum of naproxen methyl 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6153" cy="5494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164" w:rsidRDefault="00B91164" w:rsidP="00A776F8">
      <w:pPr>
        <w:pStyle w:val="Heading3"/>
      </w:pPr>
      <w:bookmarkStart w:id="13" w:name="_Toc446428065"/>
      <w:r w:rsidRPr="00B91164">
        <w:rPr>
          <w:vertAlign w:val="superscript"/>
        </w:rPr>
        <w:lastRenderedPageBreak/>
        <w:t>13</w:t>
      </w:r>
      <w:r>
        <w:t>C NMR – Naproxen methyl ester</w:t>
      </w:r>
      <w:bookmarkEnd w:id="13"/>
    </w:p>
    <w:p w:rsidR="00B91164" w:rsidRDefault="00B91164" w:rsidP="00B91164">
      <w:r>
        <w:rPr>
          <w:noProof/>
          <w:lang w:eastAsia="en-GB"/>
        </w:rPr>
        <w:drawing>
          <wp:inline distT="0" distB="0" distL="0" distR="0" wp14:anchorId="49CFD58C">
            <wp:extent cx="7877175" cy="5502699"/>
            <wp:effectExtent l="0" t="0" r="0" b="0"/>
            <wp:docPr id="11" name="Picture 11" title="Carbon NMR spectrum of naproxen methyl 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920" cy="5501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164" w:rsidRDefault="00B91164" w:rsidP="00A776F8">
      <w:pPr>
        <w:pStyle w:val="Heading3"/>
      </w:pPr>
      <w:bookmarkStart w:id="14" w:name="_Toc446428066"/>
      <w:r>
        <w:lastRenderedPageBreak/>
        <w:t>FTIR – Naproxen methyl ester</w:t>
      </w:r>
      <w:bookmarkEnd w:id="14"/>
    </w:p>
    <w:p w:rsidR="00B91164" w:rsidRPr="00B91164" w:rsidRDefault="00B91164" w:rsidP="00B91164">
      <w:r>
        <w:rPr>
          <w:noProof/>
          <w:lang w:eastAsia="en-GB"/>
        </w:rPr>
        <w:drawing>
          <wp:inline distT="0" distB="0" distL="0" distR="0" wp14:anchorId="526FB7EB">
            <wp:extent cx="8887530" cy="5518113"/>
            <wp:effectExtent l="0" t="0" r="0" b="6985"/>
            <wp:docPr id="12" name="Picture 12" title="IR spectrum of naproxen methyl 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16"/>
                    <a:stretch/>
                  </pic:blipFill>
                  <pic:spPr bwMode="auto">
                    <a:xfrm>
                      <a:off x="0" y="0"/>
                      <a:ext cx="8895536" cy="552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1164" w:rsidRPr="00B91164" w:rsidSect="002867FB">
      <w:footerReference w:type="default" r:id="rId2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08" w:rsidRDefault="00663A08" w:rsidP="000D3D40">
      <w:r>
        <w:separator/>
      </w:r>
    </w:p>
  </w:endnote>
  <w:endnote w:type="continuationSeparator" w:id="0">
    <w:p w:rsidR="00663A08" w:rsidRDefault="00663A08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08" w:rsidRPr="00A913F4" w:rsidRDefault="00A913F4" w:rsidP="00A913F4">
    <w:pPr>
      <w:pStyle w:val="Footer"/>
    </w:pPr>
    <w:r>
      <w:t>This resource “</w:t>
    </w:r>
    <w:r>
      <w:rPr>
        <w:i/>
      </w:rPr>
      <w:t>new name</w:t>
    </w:r>
    <w:r>
      <w:t>”, is a derivative of “Laboratory manual” by The Royal Society of Chemistry used under CC-BY-NC-SA 4.0. “</w:t>
    </w:r>
    <w:proofErr w:type="gramStart"/>
    <w:r>
      <w:rPr>
        <w:i/>
      </w:rPr>
      <w:t>new</w:t>
    </w:r>
    <w:proofErr w:type="gramEnd"/>
    <w:r>
      <w:rPr>
        <w:i/>
      </w:rPr>
      <w:t xml:space="preserve"> name</w:t>
    </w:r>
    <w:r>
      <w:t>” is licensed under CC-BY-NC-SA 4.0 by “</w:t>
    </w:r>
    <w:r>
      <w:rPr>
        <w:i/>
      </w:rPr>
      <w:t>name of user</w:t>
    </w:r>
    <w:r>
      <w:t>”.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08" w:rsidRPr="002867FB" w:rsidRDefault="00663A08" w:rsidP="00286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08" w:rsidRDefault="00663A08" w:rsidP="000D3D40">
      <w:r>
        <w:separator/>
      </w:r>
    </w:p>
  </w:footnote>
  <w:footnote w:type="continuationSeparator" w:id="0">
    <w:p w:rsidR="00663A08" w:rsidRDefault="00663A08" w:rsidP="000D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355C3"/>
    <w:rsid w:val="000709BF"/>
    <w:rsid w:val="000D3D40"/>
    <w:rsid w:val="000D440E"/>
    <w:rsid w:val="0010603F"/>
    <w:rsid w:val="00112D04"/>
    <w:rsid w:val="001167A2"/>
    <w:rsid w:val="001434D7"/>
    <w:rsid w:val="00146CA1"/>
    <w:rsid w:val="00165309"/>
    <w:rsid w:val="00170457"/>
    <w:rsid w:val="0018383B"/>
    <w:rsid w:val="001A51FD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67FB"/>
    <w:rsid w:val="00287576"/>
    <w:rsid w:val="00291C4D"/>
    <w:rsid w:val="00292178"/>
    <w:rsid w:val="002A3815"/>
    <w:rsid w:val="002C0301"/>
    <w:rsid w:val="002C42BC"/>
    <w:rsid w:val="002C4A08"/>
    <w:rsid w:val="002F0461"/>
    <w:rsid w:val="002F531E"/>
    <w:rsid w:val="003019B6"/>
    <w:rsid w:val="003260A5"/>
    <w:rsid w:val="00334EAD"/>
    <w:rsid w:val="00343CBA"/>
    <w:rsid w:val="00361A0D"/>
    <w:rsid w:val="0038497E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3A90"/>
    <w:rsid w:val="00496E2E"/>
    <w:rsid w:val="004A2D91"/>
    <w:rsid w:val="004A32F0"/>
    <w:rsid w:val="004B204F"/>
    <w:rsid w:val="004B2F65"/>
    <w:rsid w:val="005065D4"/>
    <w:rsid w:val="00515A5A"/>
    <w:rsid w:val="00520BDA"/>
    <w:rsid w:val="0054664B"/>
    <w:rsid w:val="005516AC"/>
    <w:rsid w:val="0056407C"/>
    <w:rsid w:val="00573F45"/>
    <w:rsid w:val="00582E46"/>
    <w:rsid w:val="00596ABE"/>
    <w:rsid w:val="005A4239"/>
    <w:rsid w:val="005A7495"/>
    <w:rsid w:val="005C02D2"/>
    <w:rsid w:val="005C2B10"/>
    <w:rsid w:val="005D668B"/>
    <w:rsid w:val="005F1C11"/>
    <w:rsid w:val="005F451D"/>
    <w:rsid w:val="00613760"/>
    <w:rsid w:val="00635F98"/>
    <w:rsid w:val="006437AB"/>
    <w:rsid w:val="006525C2"/>
    <w:rsid w:val="006532A6"/>
    <w:rsid w:val="00663A08"/>
    <w:rsid w:val="0067206C"/>
    <w:rsid w:val="006758AB"/>
    <w:rsid w:val="006A4E5D"/>
    <w:rsid w:val="006B42FF"/>
    <w:rsid w:val="006D3E26"/>
    <w:rsid w:val="006F6F73"/>
    <w:rsid w:val="00707FDD"/>
    <w:rsid w:val="00714A35"/>
    <w:rsid w:val="00723F23"/>
    <w:rsid w:val="007344B6"/>
    <w:rsid w:val="007358E3"/>
    <w:rsid w:val="0075451A"/>
    <w:rsid w:val="00755C7E"/>
    <w:rsid w:val="00784400"/>
    <w:rsid w:val="007C1813"/>
    <w:rsid w:val="007D48BE"/>
    <w:rsid w:val="007D58C8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B3A10"/>
    <w:rsid w:val="008C2782"/>
    <w:rsid w:val="008C6DC1"/>
    <w:rsid w:val="008E2859"/>
    <w:rsid w:val="0090405B"/>
    <w:rsid w:val="00915C84"/>
    <w:rsid w:val="00923E53"/>
    <w:rsid w:val="00953A2C"/>
    <w:rsid w:val="00972310"/>
    <w:rsid w:val="00982F78"/>
    <w:rsid w:val="00983959"/>
    <w:rsid w:val="00987FC3"/>
    <w:rsid w:val="009C5777"/>
    <w:rsid w:val="009D4E77"/>
    <w:rsid w:val="009D63E6"/>
    <w:rsid w:val="009F0DFC"/>
    <w:rsid w:val="009F3445"/>
    <w:rsid w:val="00A04A6D"/>
    <w:rsid w:val="00A50EEB"/>
    <w:rsid w:val="00A52886"/>
    <w:rsid w:val="00A60E19"/>
    <w:rsid w:val="00A75F4C"/>
    <w:rsid w:val="00A776F8"/>
    <w:rsid w:val="00A84E1D"/>
    <w:rsid w:val="00A913F4"/>
    <w:rsid w:val="00A9584B"/>
    <w:rsid w:val="00AB1738"/>
    <w:rsid w:val="00AC6AB5"/>
    <w:rsid w:val="00AF3542"/>
    <w:rsid w:val="00AF776F"/>
    <w:rsid w:val="00B20041"/>
    <w:rsid w:val="00B66636"/>
    <w:rsid w:val="00B74017"/>
    <w:rsid w:val="00B91164"/>
    <w:rsid w:val="00BA512C"/>
    <w:rsid w:val="00BB1F22"/>
    <w:rsid w:val="00C17DDC"/>
    <w:rsid w:val="00C3053B"/>
    <w:rsid w:val="00CB54AD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37FEB"/>
    <w:rsid w:val="00E47850"/>
    <w:rsid w:val="00E47D2B"/>
    <w:rsid w:val="00E5491A"/>
    <w:rsid w:val="00E61773"/>
    <w:rsid w:val="00E86125"/>
    <w:rsid w:val="00EA0301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00C0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FF"/>
    <w:pPr>
      <w:keepLines/>
      <w:spacing w:before="0" w:after="240"/>
    </w:pPr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A04A6D"/>
    <w:pPr>
      <w:keepNext/>
      <w:contextualSpacing/>
      <w:outlineLvl w:val="0"/>
    </w:pPr>
    <w:rPr>
      <w:rFonts w:eastAsiaTheme="majorEastAsia" w:cstheme="majorBidi"/>
      <w:b/>
      <w:bCs/>
      <w:color w:val="2C4D67"/>
      <w:sz w:val="3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A6D"/>
    <w:pPr>
      <w:keepNext/>
      <w:spacing w:before="360" w:after="0"/>
      <w:outlineLvl w:val="1"/>
    </w:pPr>
    <w:rPr>
      <w:b/>
      <w:color w:val="2C4D67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A6D"/>
    <w:pPr>
      <w:keepNext/>
      <w:spacing w:before="240" w:after="0"/>
      <w:outlineLvl w:val="2"/>
    </w:pPr>
    <w:rPr>
      <w:rFonts w:eastAsiaTheme="majorEastAsia"/>
      <w:b/>
      <w:bCs/>
      <w:color w:val="2C4D67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A6D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04A6D"/>
    <w:rPr>
      <w:rFonts w:ascii="Arial" w:eastAsiaTheme="majorEastAsia" w:hAnsi="Arial" w:cs="Arial"/>
      <w:b/>
      <w:bCs/>
      <w:color w:val="2C4D67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04A6D"/>
    <w:rPr>
      <w:rFonts w:ascii="Arial" w:eastAsiaTheme="majorEastAsia" w:hAnsi="Arial" w:cstheme="majorBidi"/>
      <w:b/>
      <w:bCs/>
      <w:iCs/>
      <w:color w:val="404040" w:themeColor="text1" w:themeTint="BF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04A6D"/>
    <w:rPr>
      <w:rFonts w:ascii="Arial" w:eastAsiaTheme="majorEastAsia" w:hAnsi="Arial" w:cstheme="majorBidi"/>
      <w:b/>
      <w:bCs/>
      <w:color w:val="2C4D67"/>
      <w:sz w:val="3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A04A6D"/>
    <w:rPr>
      <w:rFonts w:ascii="Arial" w:hAnsi="Arial" w:cs="Arial"/>
      <w:b/>
      <w:color w:val="2C4D67"/>
      <w:sz w:val="3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6AB5"/>
    <w:pPr>
      <w:keepLines w:val="0"/>
      <w:spacing w:after="0"/>
    </w:pPr>
    <w:rPr>
      <w:rFonts w:asciiTheme="minorHAnsi" w:hAnsiTheme="minorHAnsi" w:cstheme="minorBid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6AB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C42BC"/>
    <w:pPr>
      <w:spacing w:after="100"/>
      <w:ind w:left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2C42BC"/>
    <w:pPr>
      <w:spacing w:after="100"/>
    </w:pPr>
    <w:rPr>
      <w:b/>
      <w:color w:val="2C4D67"/>
      <w:sz w:val="26"/>
    </w:rPr>
  </w:style>
  <w:style w:type="paragraph" w:styleId="Caption">
    <w:name w:val="caption"/>
    <w:basedOn w:val="Normal"/>
    <w:next w:val="Normal"/>
    <w:uiPriority w:val="35"/>
    <w:unhideWhenUsed/>
    <w:qFormat/>
    <w:rsid w:val="00953A2C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able">
    <w:name w:val="Table"/>
    <w:basedOn w:val="Normal"/>
    <w:qFormat/>
    <w:rsid w:val="00953A2C"/>
    <w:pPr>
      <w:spacing w:after="0"/>
    </w:pPr>
    <w:rPr>
      <w:b/>
      <w:color w:val="2C4D67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FF"/>
    <w:pPr>
      <w:keepLines/>
      <w:spacing w:before="0" w:after="240"/>
    </w:pPr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A04A6D"/>
    <w:pPr>
      <w:keepNext/>
      <w:contextualSpacing/>
      <w:outlineLvl w:val="0"/>
    </w:pPr>
    <w:rPr>
      <w:rFonts w:eastAsiaTheme="majorEastAsia" w:cstheme="majorBidi"/>
      <w:b/>
      <w:bCs/>
      <w:color w:val="2C4D67"/>
      <w:sz w:val="3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A6D"/>
    <w:pPr>
      <w:keepNext/>
      <w:spacing w:before="360" w:after="0"/>
      <w:outlineLvl w:val="1"/>
    </w:pPr>
    <w:rPr>
      <w:b/>
      <w:color w:val="2C4D67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A6D"/>
    <w:pPr>
      <w:keepNext/>
      <w:spacing w:before="240" w:after="0"/>
      <w:outlineLvl w:val="2"/>
    </w:pPr>
    <w:rPr>
      <w:rFonts w:eastAsiaTheme="majorEastAsia"/>
      <w:b/>
      <w:bCs/>
      <w:color w:val="2C4D67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A6D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04A6D"/>
    <w:rPr>
      <w:rFonts w:ascii="Arial" w:eastAsiaTheme="majorEastAsia" w:hAnsi="Arial" w:cs="Arial"/>
      <w:b/>
      <w:bCs/>
      <w:color w:val="2C4D67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04A6D"/>
    <w:rPr>
      <w:rFonts w:ascii="Arial" w:eastAsiaTheme="majorEastAsia" w:hAnsi="Arial" w:cstheme="majorBidi"/>
      <w:b/>
      <w:bCs/>
      <w:iCs/>
      <w:color w:val="404040" w:themeColor="text1" w:themeTint="BF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04A6D"/>
    <w:rPr>
      <w:rFonts w:ascii="Arial" w:eastAsiaTheme="majorEastAsia" w:hAnsi="Arial" w:cstheme="majorBidi"/>
      <w:b/>
      <w:bCs/>
      <w:color w:val="2C4D67"/>
      <w:sz w:val="3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A04A6D"/>
    <w:rPr>
      <w:rFonts w:ascii="Arial" w:hAnsi="Arial" w:cs="Arial"/>
      <w:b/>
      <w:color w:val="2C4D67"/>
      <w:sz w:val="3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6AB5"/>
    <w:pPr>
      <w:keepLines w:val="0"/>
      <w:spacing w:after="0"/>
    </w:pPr>
    <w:rPr>
      <w:rFonts w:asciiTheme="minorHAnsi" w:hAnsiTheme="minorHAnsi" w:cstheme="minorBid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6AB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C42BC"/>
    <w:pPr>
      <w:spacing w:after="100"/>
      <w:ind w:left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2C42BC"/>
    <w:pPr>
      <w:spacing w:after="100"/>
    </w:pPr>
    <w:rPr>
      <w:b/>
      <w:color w:val="2C4D67"/>
      <w:sz w:val="26"/>
    </w:rPr>
  </w:style>
  <w:style w:type="paragraph" w:styleId="Caption">
    <w:name w:val="caption"/>
    <w:basedOn w:val="Normal"/>
    <w:next w:val="Normal"/>
    <w:uiPriority w:val="35"/>
    <w:unhideWhenUsed/>
    <w:qFormat/>
    <w:rsid w:val="00953A2C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able">
    <w:name w:val="Table"/>
    <w:basedOn w:val="Normal"/>
    <w:qFormat/>
    <w:rsid w:val="00953A2C"/>
    <w:pPr>
      <w:spacing w:after="0"/>
    </w:pPr>
    <w:rPr>
      <w:b/>
      <w:color w:val="2C4D67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rsc.li/1PWZOwt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microsoft.com/office/2007/relationships/stylesWithEffects" Target="stylesWithEffects.xml"/><Relationship Id="rId12" Type="http://schemas.openxmlformats.org/officeDocument/2006/relationships/hyperlink" Target="http://rsc.li/1PWZOwt" TargetMode="External"/><Relationship Id="rId17" Type="http://schemas.openxmlformats.org/officeDocument/2006/relationships/oleObject" Target="embeddings/oleObject2.bin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image" Target="media/image5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4761-3B67-4A8D-9857-B9F8BC370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B7E18-A853-43EF-9B16-7EA2246237C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27d643f5-4560-4eff-9f48-d0fe6b2bec2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EFFBB5-4AFD-4647-8D0D-E71EDCFB0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3968CAF-1343-4A86-9311-92FC4E87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manual</vt:lpstr>
    </vt:vector>
  </TitlesOfParts>
  <Company>Royal Society of Chemistry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manual</dc:title>
  <dc:creator>Royal Society of Chemistry</dc:creator>
  <cp:lastModifiedBy>Robert Smith</cp:lastModifiedBy>
  <cp:revision>25</cp:revision>
  <dcterms:created xsi:type="dcterms:W3CDTF">2016-02-15T15:55:00Z</dcterms:created>
  <dcterms:modified xsi:type="dcterms:W3CDTF">2016-08-04T14:12:00Z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