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B" w:rsidRPr="00343CBA" w:rsidRDefault="00344B42" w:rsidP="000D3D40">
      <w:pPr>
        <w:pStyle w:val="Heading1"/>
      </w:pPr>
      <w:r>
        <w:t>Recycling the undesired enantiomer of naproxen</w:t>
      </w:r>
    </w:p>
    <w:p w:rsidR="00344B42" w:rsidRDefault="00111C95" w:rsidP="007C1813">
      <w:pPr>
        <w:pStyle w:val="Leadparagraph"/>
        <w:rPr>
          <w:rStyle w:val="LeadparagraphChar"/>
          <w:b/>
          <w:sz w:val="24"/>
          <w:szCs w:val="24"/>
        </w:rPr>
      </w:pPr>
      <w:r>
        <w:t>A context/problem-based learning (C/PBL) resource</w:t>
      </w:r>
    </w:p>
    <w:p w:rsidR="0072388F" w:rsidRDefault="0072388F" w:rsidP="007C1813">
      <w:pPr>
        <w:pStyle w:val="Leadparagraph"/>
        <w:rPr>
          <w:rStyle w:val="LeadparagraphChar"/>
          <w:b/>
          <w:sz w:val="24"/>
          <w:szCs w:val="24"/>
        </w:rPr>
      </w:pPr>
    </w:p>
    <w:p w:rsidR="00D71A1A" w:rsidRDefault="00344B42" w:rsidP="007C1813">
      <w:pPr>
        <w:pStyle w:val="Leadparagraph"/>
        <w:rPr>
          <w:rStyle w:val="LeadparagraphChar"/>
          <w:b/>
          <w:sz w:val="24"/>
          <w:szCs w:val="24"/>
        </w:rPr>
      </w:pPr>
      <w:r>
        <w:rPr>
          <w:rStyle w:val="LeadparagraphChar"/>
          <w:b/>
          <w:sz w:val="24"/>
          <w:szCs w:val="24"/>
        </w:rPr>
        <w:t>Workshop 1 hand-out</w:t>
      </w:r>
    </w:p>
    <w:p w:rsidR="00D800A1" w:rsidRPr="00D800A1" w:rsidRDefault="00D800A1" w:rsidP="00D800A1"/>
    <w:p w:rsidR="00232BDF" w:rsidRDefault="00666EFE" w:rsidP="000D3D40">
      <w:proofErr w:type="spellStart"/>
      <w:r>
        <w:t>Nimesh</w:t>
      </w:r>
      <w:proofErr w:type="spellEnd"/>
      <w:r>
        <w:t xml:space="preserve"> </w:t>
      </w:r>
      <w:proofErr w:type="spellStart"/>
      <w:r>
        <w:t>Mistry</w:t>
      </w:r>
      <w:proofErr w:type="spellEnd"/>
      <w:r>
        <w:t xml:space="preserve">, Sarah </w:t>
      </w:r>
      <w:proofErr w:type="spellStart"/>
      <w:r>
        <w:t>Naramore</w:t>
      </w:r>
      <w:proofErr w:type="spellEnd"/>
      <w:r>
        <w:t xml:space="preserve"> and George Burslem</w:t>
      </w:r>
      <w:bookmarkStart w:id="0" w:name="_GoBack"/>
      <w:bookmarkEnd w:id="0"/>
      <w:r w:rsidR="00D800A1">
        <w:br/>
        <w:t>University of Leeds</w:t>
      </w:r>
    </w:p>
    <w:p w:rsidR="00D800A1" w:rsidRDefault="00D800A1" w:rsidP="000D3D40"/>
    <w:p w:rsidR="00D800A1" w:rsidRPr="000D3D40" w:rsidRDefault="00D800A1" w:rsidP="000D3D40">
      <w:r>
        <w:t>Produced for the Royal Society of Chemistry</w:t>
      </w:r>
    </w:p>
    <w:p w:rsidR="00D800A1" w:rsidRDefault="00D800A1">
      <w:pPr>
        <w:keepLines w:val="0"/>
        <w:spacing w:before="200" w:after="0"/>
        <w:rPr>
          <w:b/>
          <w:color w:val="2C4D67"/>
          <w:sz w:val="30"/>
          <w:szCs w:val="26"/>
        </w:rPr>
      </w:pPr>
      <w:r>
        <w:br w:type="page"/>
      </w:r>
    </w:p>
    <w:p w:rsidR="0075451A" w:rsidRPr="008B3961" w:rsidRDefault="00427CE5" w:rsidP="008B3961">
      <w:pPr>
        <w:pStyle w:val="Heading2"/>
      </w:pPr>
      <w:r>
        <w:lastRenderedPageBreak/>
        <w:t>Part 1 – Team building</w:t>
      </w:r>
    </w:p>
    <w:p w:rsidR="00427CE5" w:rsidRDefault="00427CE5" w:rsidP="00427CE5">
      <w:r>
        <w:t>In order to complete a team project successfully you should become familiar with each other and the details of the project.</w:t>
      </w:r>
    </w:p>
    <w:p w:rsidR="00427CE5" w:rsidRDefault="00427CE5" w:rsidP="00427CE5">
      <w:pPr>
        <w:keepLines w:val="0"/>
        <w:spacing w:before="200" w:after="0"/>
      </w:pPr>
      <w:r>
        <w:t xml:space="preserve">Read through the module book together and make sure everyone understands what the project involves and how it will be assessed. If you have any questions ask the teacher. </w:t>
      </w:r>
    </w:p>
    <w:p w:rsidR="00427CE5" w:rsidRDefault="00427CE5" w:rsidP="00427CE5">
      <w:pPr>
        <w:keepLines w:val="0"/>
        <w:spacing w:before="200" w:after="0"/>
      </w:pPr>
      <w:r>
        <w:t xml:space="preserve">Make a list of the different tasks that will need to be completed for the project will be </w:t>
      </w:r>
      <w:proofErr w:type="gramStart"/>
      <w:r>
        <w:t>a</w:t>
      </w:r>
      <w:proofErr w:type="gramEnd"/>
      <w:r>
        <w:t xml:space="preserve"> success and discuss which tasks everyone would like to do.</w:t>
      </w:r>
    </w:p>
    <w:p w:rsidR="00427CE5" w:rsidRDefault="00427CE5" w:rsidP="00427CE5">
      <w:pPr>
        <w:keepLines w:val="0"/>
        <w:spacing w:before="200" w:after="0"/>
      </w:pPr>
    </w:p>
    <w:p w:rsidR="00427CE5" w:rsidRDefault="00427CE5" w:rsidP="00427CE5">
      <w:pPr>
        <w:pStyle w:val="Heading2"/>
      </w:pPr>
      <w:r>
        <w:t>Part 2 – Process design</w:t>
      </w:r>
    </w:p>
    <w:p w:rsidR="00427CE5" w:rsidRDefault="00427CE5" w:rsidP="00427CE5">
      <w:pPr>
        <w:pStyle w:val="Heading3"/>
      </w:pPr>
      <w:r>
        <w:t>Method 1</w:t>
      </w:r>
    </w:p>
    <w:p w:rsidR="00427CE5" w:rsidRPr="00427CE5" w:rsidRDefault="00427CE5" w:rsidP="00427CE5"/>
    <w:p w:rsidR="00E576CA" w:rsidRDefault="00226D1A" w:rsidP="00E576CA">
      <w:pPr>
        <w:keepNext/>
      </w:pPr>
      <w:r w:rsidRPr="00C506DA">
        <w:object w:dxaOrig="8114"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terification of (R)-naproxen - method 1" style="width:405.5pt;height:50.25pt" o:ole="">
            <v:imagedata r:id="rId11" o:title=""/>
          </v:shape>
          <o:OLEObject Type="Embed" ProgID="ChemDraw.Document.6.0" ShapeID="_x0000_i1025" DrawAspect="Content" ObjectID="_1531828750" r:id="rId12"/>
        </w:object>
      </w:r>
    </w:p>
    <w:p w:rsidR="00427CE5" w:rsidRDefault="00E576CA" w:rsidP="00E576CA">
      <w:pPr>
        <w:pStyle w:val="Caption"/>
      </w:pPr>
      <w:r>
        <w:t xml:space="preserve">Figure </w:t>
      </w:r>
      <w:r w:rsidR="00666EFE">
        <w:fldChar w:fldCharType="begin"/>
      </w:r>
      <w:r w:rsidR="00666EFE">
        <w:instrText xml:space="preserve"> SEQ Figure \* ARABIC </w:instrText>
      </w:r>
      <w:r w:rsidR="00666EFE">
        <w:fldChar w:fldCharType="separate"/>
      </w:r>
      <w:r>
        <w:rPr>
          <w:noProof/>
        </w:rPr>
        <w:t>1</w:t>
      </w:r>
      <w:r w:rsidR="00666EFE">
        <w:rPr>
          <w:noProof/>
        </w:rPr>
        <w:fldChar w:fldCharType="end"/>
      </w:r>
      <w:r>
        <w:t>: Reaction scheme for method 1</w:t>
      </w:r>
    </w:p>
    <w:p w:rsidR="00427CE5" w:rsidRDefault="00427CE5" w:rsidP="00427CE5"/>
    <w:p w:rsidR="00427CE5" w:rsidRDefault="00427CE5" w:rsidP="00427CE5">
      <w:pPr>
        <w:rPr>
          <w:szCs w:val="24"/>
        </w:rPr>
      </w:pPr>
      <w:r w:rsidRPr="00C506DA">
        <w:rPr>
          <w:szCs w:val="24"/>
        </w:rPr>
        <w:t>Conc</w:t>
      </w:r>
      <w:r w:rsidR="0006026C">
        <w:rPr>
          <w:szCs w:val="24"/>
        </w:rPr>
        <w:t>entrated sulf</w:t>
      </w:r>
      <w:r>
        <w:rPr>
          <w:szCs w:val="24"/>
        </w:rPr>
        <w:t>uric acid (0.23 mL</w:t>
      </w:r>
      <w:r w:rsidRPr="00C506DA">
        <w:rPr>
          <w:szCs w:val="24"/>
        </w:rPr>
        <w:t>, 0.43 mmol) was added dropwise to a solution of (</w:t>
      </w:r>
      <w:r w:rsidRPr="00C506DA">
        <w:rPr>
          <w:i/>
          <w:szCs w:val="24"/>
        </w:rPr>
        <w:t>R</w:t>
      </w:r>
      <w:r w:rsidRPr="00C506DA">
        <w:rPr>
          <w:szCs w:val="24"/>
        </w:rPr>
        <w:t>)-Naproxen (1</w:t>
      </w:r>
      <w:r>
        <w:rPr>
          <w:szCs w:val="24"/>
        </w:rPr>
        <w:t xml:space="preserve"> g, 4.35 mmol) in methanol (30 mL</w:t>
      </w:r>
      <w:r w:rsidRPr="00C506DA">
        <w:rPr>
          <w:szCs w:val="24"/>
        </w:rPr>
        <w:t>). The resulting solution was heated to reflux for 1 hour, allowed to cool to rt and poured into a saturated aqueous solut</w:t>
      </w:r>
      <w:r>
        <w:rPr>
          <w:szCs w:val="24"/>
        </w:rPr>
        <w:t>ion of sodium bicarbonate (50 mL</w:t>
      </w:r>
      <w:r w:rsidRPr="00C506DA">
        <w:rPr>
          <w:szCs w:val="24"/>
        </w:rPr>
        <w:t>). This suspension was extracted with ethyl acetate (3 x 30 m</w:t>
      </w:r>
      <w:r>
        <w:rPr>
          <w:szCs w:val="24"/>
        </w:rPr>
        <w:t>L</w:t>
      </w:r>
      <w:r w:rsidRPr="00C506DA">
        <w:rPr>
          <w:szCs w:val="24"/>
        </w:rPr>
        <w:t xml:space="preserve">) and the combined organics washed with saturated aqueous sodium bicarbonate </w:t>
      </w:r>
      <w:r>
        <w:rPr>
          <w:szCs w:val="24"/>
        </w:rPr>
        <w:t>(30 mL</w:t>
      </w:r>
      <w:r w:rsidRPr="00C506DA">
        <w:rPr>
          <w:szCs w:val="24"/>
        </w:rPr>
        <w:t>), dried over MgSO</w:t>
      </w:r>
      <w:r w:rsidRPr="00C506DA">
        <w:rPr>
          <w:szCs w:val="24"/>
          <w:vertAlign w:val="subscript"/>
        </w:rPr>
        <w:t>4</w:t>
      </w:r>
      <w:r w:rsidRPr="00C506DA">
        <w:rPr>
          <w:szCs w:val="24"/>
        </w:rPr>
        <w:t xml:space="preserve"> and concentrated </w:t>
      </w:r>
      <w:r w:rsidRPr="00C506DA">
        <w:rPr>
          <w:i/>
          <w:szCs w:val="24"/>
        </w:rPr>
        <w:t>in vacuo</w:t>
      </w:r>
      <w:r w:rsidRPr="00C506DA">
        <w:rPr>
          <w:szCs w:val="24"/>
        </w:rPr>
        <w:t xml:space="preserve"> to a colourless solid (0.96 g, 91%)</w:t>
      </w:r>
    </w:p>
    <w:p w:rsidR="00427CE5" w:rsidRDefault="00427CE5" w:rsidP="00427CE5">
      <w:pPr>
        <w:rPr>
          <w:szCs w:val="24"/>
        </w:rPr>
      </w:pPr>
    </w:p>
    <w:p w:rsidR="00427CE5" w:rsidRDefault="00427CE5" w:rsidP="00427CE5">
      <w:pPr>
        <w:pStyle w:val="Heading3"/>
      </w:pPr>
      <w:r>
        <w:t>Method 2</w:t>
      </w:r>
    </w:p>
    <w:p w:rsidR="00427CE5" w:rsidRDefault="00427CE5" w:rsidP="00427CE5"/>
    <w:p w:rsidR="00E576CA" w:rsidRDefault="00226D1A" w:rsidP="00E576CA">
      <w:pPr>
        <w:keepNext/>
      </w:pPr>
      <w:r w:rsidRPr="00C506DA">
        <w:rPr>
          <w:szCs w:val="24"/>
        </w:rPr>
        <w:object w:dxaOrig="8130" w:dyaOrig="1025">
          <v:shape id="_x0000_i1026" type="#_x0000_t75" alt="Esterification of (R)-naproxen - method 2" style="width:405.5pt;height:50.95pt" o:ole="">
            <v:imagedata r:id="rId13" o:title=""/>
          </v:shape>
          <o:OLEObject Type="Embed" ProgID="ChemDraw.Document.6.0" ShapeID="_x0000_i1026" DrawAspect="Content" ObjectID="_1531828751" r:id="rId14"/>
        </w:object>
      </w:r>
    </w:p>
    <w:p w:rsidR="00427CE5" w:rsidRDefault="00E576CA" w:rsidP="00E576CA">
      <w:pPr>
        <w:pStyle w:val="Caption"/>
        <w:rPr>
          <w:szCs w:val="24"/>
        </w:rPr>
      </w:pPr>
      <w:r>
        <w:t xml:space="preserve">Figure </w:t>
      </w:r>
      <w:r w:rsidR="00666EFE">
        <w:fldChar w:fldCharType="begin"/>
      </w:r>
      <w:r w:rsidR="00666EFE">
        <w:instrText xml:space="preserve"> SEQ Figure \* ARABIC </w:instrText>
      </w:r>
      <w:r w:rsidR="00666EFE">
        <w:fldChar w:fldCharType="separate"/>
      </w:r>
      <w:r>
        <w:rPr>
          <w:noProof/>
        </w:rPr>
        <w:t>2</w:t>
      </w:r>
      <w:r w:rsidR="00666EFE">
        <w:rPr>
          <w:noProof/>
        </w:rPr>
        <w:fldChar w:fldCharType="end"/>
      </w:r>
      <w:r>
        <w:t>: Reaction scheme for reaction 2</w:t>
      </w:r>
    </w:p>
    <w:p w:rsidR="00427CE5" w:rsidRDefault="00427CE5" w:rsidP="00427CE5">
      <w:pPr>
        <w:rPr>
          <w:szCs w:val="24"/>
        </w:rPr>
      </w:pPr>
    </w:p>
    <w:p w:rsidR="00427CE5" w:rsidRPr="00C506DA" w:rsidRDefault="00427CE5" w:rsidP="00427CE5">
      <w:pPr>
        <w:rPr>
          <w:szCs w:val="24"/>
        </w:rPr>
      </w:pPr>
      <w:r w:rsidRPr="00C506DA">
        <w:rPr>
          <w:szCs w:val="24"/>
        </w:rPr>
        <w:lastRenderedPageBreak/>
        <w:t>(</w:t>
      </w:r>
      <w:r w:rsidRPr="00C506DA">
        <w:rPr>
          <w:i/>
          <w:szCs w:val="24"/>
        </w:rPr>
        <w:t>R</w:t>
      </w:r>
      <w:r w:rsidRPr="00C506DA">
        <w:rPr>
          <w:szCs w:val="24"/>
        </w:rPr>
        <w:t>)-Naproxen (2 g) was dissolved in methanol (50 m</w:t>
      </w:r>
      <w:r>
        <w:rPr>
          <w:szCs w:val="24"/>
        </w:rPr>
        <w:t>L</w:t>
      </w:r>
      <w:r w:rsidRPr="00C506DA">
        <w:rPr>
          <w:szCs w:val="24"/>
        </w:rPr>
        <w:t>) containing Dowex-H</w:t>
      </w:r>
      <w:r w:rsidRPr="00C506DA">
        <w:rPr>
          <w:szCs w:val="24"/>
          <w:vertAlign w:val="superscript"/>
        </w:rPr>
        <w:t>+</w:t>
      </w:r>
      <w:r w:rsidRPr="00C506DA">
        <w:rPr>
          <w:szCs w:val="24"/>
        </w:rPr>
        <w:t xml:space="preserve"> resin (500 mg) and stirred at 40 °C for 2 days. Reaction mixture filtered to remove resin and concentrated </w:t>
      </w:r>
      <w:r w:rsidRPr="00C506DA">
        <w:rPr>
          <w:i/>
          <w:szCs w:val="24"/>
        </w:rPr>
        <w:t>in vacuo</w:t>
      </w:r>
      <w:r w:rsidRPr="00C506DA">
        <w:rPr>
          <w:szCs w:val="24"/>
        </w:rPr>
        <w:t>. Residue dissolved in ethyl acetate (50 m</w:t>
      </w:r>
      <w:r>
        <w:rPr>
          <w:szCs w:val="24"/>
        </w:rPr>
        <w:t>L</w:t>
      </w:r>
      <w:r w:rsidRPr="00C506DA">
        <w:rPr>
          <w:szCs w:val="24"/>
        </w:rPr>
        <w:t>) and washed with saturated aqueous sodium bicarbonate solution (3 x 20 m</w:t>
      </w:r>
      <w:r>
        <w:rPr>
          <w:szCs w:val="24"/>
        </w:rPr>
        <w:t>L</w:t>
      </w:r>
      <w:r w:rsidRPr="00C506DA">
        <w:rPr>
          <w:szCs w:val="24"/>
        </w:rPr>
        <w:t>), dried over MgSO</w:t>
      </w:r>
      <w:r w:rsidRPr="00C506DA">
        <w:rPr>
          <w:szCs w:val="24"/>
          <w:vertAlign w:val="subscript"/>
        </w:rPr>
        <w:t>4</w:t>
      </w:r>
      <w:r w:rsidRPr="00C506DA">
        <w:rPr>
          <w:szCs w:val="24"/>
        </w:rPr>
        <w:t xml:space="preserve"> and concentrated </w:t>
      </w:r>
      <w:r w:rsidRPr="00C506DA">
        <w:rPr>
          <w:i/>
          <w:szCs w:val="24"/>
        </w:rPr>
        <w:t>in vacuo</w:t>
      </w:r>
      <w:r w:rsidRPr="00C506DA">
        <w:rPr>
          <w:szCs w:val="24"/>
        </w:rPr>
        <w:t xml:space="preserve"> to a colourless solid (1.91 g, 90%). </w:t>
      </w:r>
    </w:p>
    <w:p w:rsidR="00427CE5" w:rsidRDefault="00427CE5" w:rsidP="00427CE5">
      <w:pPr>
        <w:rPr>
          <w:szCs w:val="24"/>
        </w:rPr>
      </w:pPr>
      <w:r w:rsidRPr="00C506DA">
        <w:rPr>
          <w:szCs w:val="24"/>
        </w:rPr>
        <w:t>A) Use the tables below to compare the raw materials cost of these two methods. First calculate how many kg you would need to make 15 kg of the final product using each method. Then work out the cost to make 15 kg. Assume that (</w:t>
      </w:r>
      <w:r w:rsidRPr="00C506DA">
        <w:rPr>
          <w:i/>
          <w:szCs w:val="24"/>
        </w:rPr>
        <w:t>R</w:t>
      </w:r>
      <w:r w:rsidRPr="00C506DA">
        <w:rPr>
          <w:szCs w:val="24"/>
        </w:rPr>
        <w:t>)-naproxen has no cost because it is being produced as a waste product of (</w:t>
      </w:r>
      <w:r w:rsidRPr="00C506DA">
        <w:rPr>
          <w:i/>
          <w:szCs w:val="24"/>
        </w:rPr>
        <w:t>S</w:t>
      </w:r>
      <w:r w:rsidRPr="00C506DA">
        <w:rPr>
          <w:szCs w:val="24"/>
        </w:rPr>
        <w:t>)-naproxen at our plant.</w:t>
      </w:r>
    </w:p>
    <w:p w:rsidR="00F41E5F" w:rsidRDefault="00F41E5F" w:rsidP="00F41E5F">
      <w:pPr>
        <w:pStyle w:val="Heading2"/>
      </w:pPr>
      <w:r>
        <w:t>Cost calculations</w:t>
      </w:r>
    </w:p>
    <w:p w:rsidR="00F328E2" w:rsidRDefault="00F328E2" w:rsidP="00F328E2">
      <w:pPr>
        <w:pStyle w:val="Heading3"/>
      </w:pPr>
      <w:r>
        <w:t xml:space="preserve"> Table </w:t>
      </w:r>
      <w:fldSimple w:instr=" SEQ Table \* ARABIC ">
        <w:r>
          <w:rPr>
            <w:noProof/>
          </w:rPr>
          <w:t>1</w:t>
        </w:r>
      </w:fldSimple>
      <w:r>
        <w:t xml:space="preserve">: </w:t>
      </w:r>
      <w:r w:rsidRPr="00F328E2">
        <w:t>Method 1 costs</w:t>
      </w:r>
    </w:p>
    <w:tbl>
      <w:tblPr>
        <w:tblStyle w:val="TableGrid"/>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Method 1 costs"/>
      </w:tblPr>
      <w:tblGrid>
        <w:gridCol w:w="1690"/>
        <w:gridCol w:w="1112"/>
        <w:gridCol w:w="1134"/>
        <w:gridCol w:w="1417"/>
        <w:gridCol w:w="1418"/>
        <w:gridCol w:w="1275"/>
        <w:gridCol w:w="1134"/>
      </w:tblGrid>
      <w:tr w:rsidR="00AF3A7A" w:rsidRPr="008A6AD0" w:rsidTr="00F328E2">
        <w:trPr>
          <w:tblHeader/>
        </w:trPr>
        <w:tc>
          <w:tcPr>
            <w:tcW w:w="1690" w:type="dxa"/>
            <w:tcBorders>
              <w:bottom w:val="single" w:sz="4" w:space="0" w:color="auto"/>
            </w:tcBorders>
            <w:vAlign w:val="center"/>
          </w:tcPr>
          <w:p w:rsidR="00AF3A7A" w:rsidRPr="00067971" w:rsidRDefault="00AF3A7A" w:rsidP="00F328E2">
            <w:pPr>
              <w:rPr>
                <w:b/>
              </w:rPr>
            </w:pPr>
            <w:r w:rsidRPr="00067971">
              <w:rPr>
                <w:b/>
              </w:rPr>
              <w:t>Material</w:t>
            </w:r>
          </w:p>
        </w:tc>
        <w:tc>
          <w:tcPr>
            <w:tcW w:w="1112" w:type="dxa"/>
            <w:tcBorders>
              <w:bottom w:val="single" w:sz="4" w:space="0" w:color="auto"/>
            </w:tcBorders>
            <w:vAlign w:val="center"/>
          </w:tcPr>
          <w:p w:rsidR="00AF3A7A" w:rsidRPr="00067971" w:rsidRDefault="00AF3A7A" w:rsidP="00F328E2">
            <w:pPr>
              <w:rPr>
                <w:b/>
              </w:rPr>
            </w:pPr>
            <w:r w:rsidRPr="00067971">
              <w:rPr>
                <w:b/>
              </w:rPr>
              <w:t>Volume / mL</w:t>
            </w:r>
          </w:p>
        </w:tc>
        <w:tc>
          <w:tcPr>
            <w:tcW w:w="1134" w:type="dxa"/>
            <w:tcBorders>
              <w:bottom w:val="single" w:sz="4" w:space="0" w:color="auto"/>
            </w:tcBorders>
            <w:vAlign w:val="center"/>
          </w:tcPr>
          <w:p w:rsidR="00AF3A7A" w:rsidRPr="00067971" w:rsidRDefault="00AF3A7A" w:rsidP="00BC70AC">
            <w:pPr>
              <w:rPr>
                <w:b/>
              </w:rPr>
            </w:pPr>
            <w:r w:rsidRPr="00067971">
              <w:rPr>
                <w:b/>
              </w:rPr>
              <w:t>Density / g cm</w:t>
            </w:r>
            <w:r w:rsidR="00BC70AC" w:rsidRPr="00067971">
              <w:rPr>
                <w:b/>
                <w:vertAlign w:val="superscript"/>
              </w:rPr>
              <w:t>-</w:t>
            </w:r>
            <w:r w:rsidRPr="00067971">
              <w:rPr>
                <w:b/>
                <w:vertAlign w:val="superscript"/>
              </w:rPr>
              <w:t>3</w:t>
            </w:r>
          </w:p>
        </w:tc>
        <w:tc>
          <w:tcPr>
            <w:tcW w:w="1417" w:type="dxa"/>
            <w:tcBorders>
              <w:bottom w:val="single" w:sz="4" w:space="0" w:color="auto"/>
            </w:tcBorders>
            <w:vAlign w:val="center"/>
          </w:tcPr>
          <w:p w:rsidR="00AF3A7A" w:rsidRPr="00067971" w:rsidRDefault="00AF3A7A" w:rsidP="00F328E2">
            <w:pPr>
              <w:rPr>
                <w:b/>
              </w:rPr>
            </w:pPr>
            <w:r w:rsidRPr="00067971">
              <w:rPr>
                <w:b/>
              </w:rPr>
              <w:t>Mass used in prep / g</w:t>
            </w:r>
          </w:p>
        </w:tc>
        <w:tc>
          <w:tcPr>
            <w:tcW w:w="1418" w:type="dxa"/>
            <w:tcBorders>
              <w:bottom w:val="single" w:sz="4" w:space="0" w:color="auto"/>
            </w:tcBorders>
            <w:vAlign w:val="center"/>
          </w:tcPr>
          <w:p w:rsidR="00AF3A7A" w:rsidRPr="00067971" w:rsidRDefault="00AF3A7A" w:rsidP="00F328E2">
            <w:pPr>
              <w:rPr>
                <w:b/>
              </w:rPr>
            </w:pPr>
            <w:r w:rsidRPr="00067971">
              <w:rPr>
                <w:b/>
              </w:rPr>
              <w:t>Mass needed to make 15 kg / kg</w:t>
            </w:r>
          </w:p>
        </w:tc>
        <w:tc>
          <w:tcPr>
            <w:tcW w:w="1275" w:type="dxa"/>
            <w:tcBorders>
              <w:bottom w:val="single" w:sz="4" w:space="0" w:color="auto"/>
            </w:tcBorders>
            <w:vAlign w:val="center"/>
          </w:tcPr>
          <w:p w:rsidR="00AF3A7A" w:rsidRPr="00067971" w:rsidRDefault="00AF3A7A" w:rsidP="00F328E2">
            <w:pPr>
              <w:rPr>
                <w:b/>
              </w:rPr>
            </w:pPr>
            <w:r w:rsidRPr="00067971">
              <w:rPr>
                <w:b/>
              </w:rPr>
              <w:t>Raw material cost / kg</w:t>
            </w:r>
          </w:p>
        </w:tc>
        <w:tc>
          <w:tcPr>
            <w:tcW w:w="1134" w:type="dxa"/>
            <w:tcBorders>
              <w:bottom w:val="single" w:sz="4" w:space="0" w:color="auto"/>
            </w:tcBorders>
            <w:vAlign w:val="center"/>
          </w:tcPr>
          <w:p w:rsidR="00AF3A7A" w:rsidRPr="00067971" w:rsidRDefault="00AF3A7A" w:rsidP="00F328E2">
            <w:pPr>
              <w:rPr>
                <w:b/>
              </w:rPr>
            </w:pPr>
            <w:r w:rsidRPr="00067971">
              <w:rPr>
                <w:b/>
              </w:rPr>
              <w:t>Cost to make 15 kg</w:t>
            </w:r>
          </w:p>
        </w:tc>
      </w:tr>
      <w:tr w:rsidR="00AF3A7A" w:rsidRPr="00F32AE0" w:rsidTr="00F328E2">
        <w:tc>
          <w:tcPr>
            <w:tcW w:w="1690" w:type="dxa"/>
            <w:tcBorders>
              <w:top w:val="single" w:sz="4" w:space="0" w:color="auto"/>
            </w:tcBorders>
            <w:vAlign w:val="center"/>
          </w:tcPr>
          <w:p w:rsidR="00AF3A7A" w:rsidRPr="008C2782" w:rsidRDefault="00AF3A7A" w:rsidP="00F328E2">
            <w:r>
              <w:t>(</w:t>
            </w:r>
            <w:r w:rsidRPr="00AF3A7A">
              <w:rPr>
                <w:i/>
              </w:rPr>
              <w:t>R</w:t>
            </w:r>
            <w:r>
              <w:t>)-naproxen</w:t>
            </w:r>
          </w:p>
        </w:tc>
        <w:tc>
          <w:tcPr>
            <w:tcW w:w="1112" w:type="dxa"/>
            <w:tcBorders>
              <w:top w:val="single" w:sz="4" w:space="0" w:color="auto"/>
            </w:tcBorders>
            <w:vAlign w:val="center"/>
          </w:tcPr>
          <w:p w:rsidR="00AF3A7A" w:rsidRPr="00F32AE0" w:rsidRDefault="008B1425" w:rsidP="00F328E2">
            <w:r>
              <w:t>N/A</w:t>
            </w:r>
          </w:p>
        </w:tc>
        <w:tc>
          <w:tcPr>
            <w:tcW w:w="1134" w:type="dxa"/>
            <w:tcBorders>
              <w:top w:val="single" w:sz="4" w:space="0" w:color="auto"/>
            </w:tcBorders>
            <w:vAlign w:val="center"/>
          </w:tcPr>
          <w:p w:rsidR="00AF3A7A" w:rsidRPr="00F32AE0" w:rsidRDefault="008B1425" w:rsidP="00F328E2">
            <w:r>
              <w:t>N/A</w:t>
            </w:r>
          </w:p>
        </w:tc>
        <w:tc>
          <w:tcPr>
            <w:tcW w:w="1417" w:type="dxa"/>
            <w:tcBorders>
              <w:top w:val="single" w:sz="4" w:space="0" w:color="auto"/>
            </w:tcBorders>
            <w:vAlign w:val="center"/>
          </w:tcPr>
          <w:p w:rsidR="00AF3A7A" w:rsidRPr="00F32AE0" w:rsidRDefault="00AF3A7A" w:rsidP="00F328E2">
            <w:r>
              <w:t>1.00</w:t>
            </w:r>
          </w:p>
        </w:tc>
        <w:tc>
          <w:tcPr>
            <w:tcW w:w="1418" w:type="dxa"/>
            <w:tcBorders>
              <w:top w:val="single" w:sz="4" w:space="0" w:color="auto"/>
            </w:tcBorders>
            <w:vAlign w:val="center"/>
          </w:tcPr>
          <w:p w:rsidR="00AF3A7A" w:rsidRPr="00F32AE0" w:rsidRDefault="00AF3A7A" w:rsidP="00F328E2"/>
        </w:tc>
        <w:tc>
          <w:tcPr>
            <w:tcW w:w="1275" w:type="dxa"/>
            <w:tcBorders>
              <w:top w:val="single" w:sz="4" w:space="0" w:color="auto"/>
            </w:tcBorders>
            <w:vAlign w:val="center"/>
          </w:tcPr>
          <w:p w:rsidR="00AF3A7A" w:rsidRPr="00F32AE0" w:rsidRDefault="00AF3A7A" w:rsidP="00F328E2">
            <w:r>
              <w:t>£0.00</w:t>
            </w:r>
          </w:p>
        </w:tc>
        <w:tc>
          <w:tcPr>
            <w:tcW w:w="1134" w:type="dxa"/>
            <w:tcBorders>
              <w:top w:val="single" w:sz="4" w:space="0" w:color="auto"/>
            </w:tcBorders>
            <w:vAlign w:val="center"/>
          </w:tcPr>
          <w:p w:rsidR="00AF3A7A" w:rsidRPr="00F32AE0" w:rsidRDefault="00AF3A7A" w:rsidP="00F328E2"/>
        </w:tc>
      </w:tr>
      <w:tr w:rsidR="00AF3A7A" w:rsidRPr="00F32AE0" w:rsidTr="00F328E2">
        <w:tc>
          <w:tcPr>
            <w:tcW w:w="1690" w:type="dxa"/>
            <w:vAlign w:val="center"/>
          </w:tcPr>
          <w:p w:rsidR="00AF3A7A" w:rsidRPr="008C2782" w:rsidRDefault="00AF3A7A" w:rsidP="00F328E2">
            <w:r>
              <w:t>c</w:t>
            </w:r>
            <w:r w:rsidR="00050426">
              <w:t>.</w:t>
            </w:r>
            <w:r>
              <w:t xml:space="preserve"> H</w:t>
            </w:r>
            <w:r w:rsidRPr="00AF3A7A">
              <w:rPr>
                <w:vertAlign w:val="subscript"/>
              </w:rPr>
              <w:t>2</w:t>
            </w:r>
            <w:r>
              <w:t>SO</w:t>
            </w:r>
            <w:r w:rsidRPr="00AF3A7A">
              <w:rPr>
                <w:vertAlign w:val="subscript"/>
              </w:rPr>
              <w:t>4</w:t>
            </w:r>
          </w:p>
        </w:tc>
        <w:tc>
          <w:tcPr>
            <w:tcW w:w="1112" w:type="dxa"/>
            <w:vAlign w:val="center"/>
          </w:tcPr>
          <w:p w:rsidR="00AF3A7A" w:rsidRPr="00F32AE0" w:rsidRDefault="00AF3A7A" w:rsidP="00F328E2">
            <w:r>
              <w:t>0.23</w:t>
            </w:r>
          </w:p>
        </w:tc>
        <w:tc>
          <w:tcPr>
            <w:tcW w:w="1134" w:type="dxa"/>
            <w:vAlign w:val="center"/>
          </w:tcPr>
          <w:p w:rsidR="00AF3A7A" w:rsidRPr="00F32AE0" w:rsidRDefault="00AF3A7A" w:rsidP="00F328E2">
            <w:r>
              <w:t>1.84</w:t>
            </w:r>
          </w:p>
        </w:tc>
        <w:tc>
          <w:tcPr>
            <w:tcW w:w="1417" w:type="dxa"/>
            <w:vAlign w:val="center"/>
          </w:tcPr>
          <w:p w:rsidR="00AF3A7A" w:rsidRPr="00F32AE0" w:rsidRDefault="00AF3A7A" w:rsidP="00F328E2">
            <w:r>
              <w:t>0.13</w:t>
            </w:r>
          </w:p>
        </w:tc>
        <w:tc>
          <w:tcPr>
            <w:tcW w:w="1418" w:type="dxa"/>
            <w:vAlign w:val="center"/>
          </w:tcPr>
          <w:p w:rsidR="00AF3A7A" w:rsidRPr="00F32AE0" w:rsidRDefault="00AF3A7A" w:rsidP="00F328E2"/>
        </w:tc>
        <w:tc>
          <w:tcPr>
            <w:tcW w:w="1275" w:type="dxa"/>
            <w:vAlign w:val="center"/>
          </w:tcPr>
          <w:p w:rsidR="00AF3A7A" w:rsidRPr="00F32AE0" w:rsidRDefault="00AF3A7A" w:rsidP="003A2D98">
            <w:r>
              <w:t>£</w:t>
            </w:r>
            <w:r w:rsidR="003A2D98">
              <w:t>10.87</w:t>
            </w:r>
          </w:p>
        </w:tc>
        <w:tc>
          <w:tcPr>
            <w:tcW w:w="1134" w:type="dxa"/>
            <w:vAlign w:val="center"/>
          </w:tcPr>
          <w:p w:rsidR="00AF3A7A" w:rsidRPr="00F32AE0" w:rsidRDefault="00AF3A7A" w:rsidP="00F328E2"/>
        </w:tc>
      </w:tr>
      <w:tr w:rsidR="00AF3A7A" w:rsidRPr="00F32AE0" w:rsidTr="00F328E2">
        <w:tc>
          <w:tcPr>
            <w:tcW w:w="1690" w:type="dxa"/>
            <w:vAlign w:val="center"/>
          </w:tcPr>
          <w:p w:rsidR="00AF3A7A" w:rsidRPr="008C2782" w:rsidRDefault="00AF3A7A" w:rsidP="00F328E2">
            <w:r>
              <w:t>MeOH*</w:t>
            </w:r>
          </w:p>
        </w:tc>
        <w:tc>
          <w:tcPr>
            <w:tcW w:w="1112" w:type="dxa"/>
            <w:vAlign w:val="center"/>
          </w:tcPr>
          <w:p w:rsidR="00AF3A7A" w:rsidRPr="00AF3A7A" w:rsidRDefault="00AF3A7A" w:rsidP="00F328E2">
            <w:r>
              <w:t>30.00</w:t>
            </w:r>
          </w:p>
        </w:tc>
        <w:tc>
          <w:tcPr>
            <w:tcW w:w="1134" w:type="dxa"/>
            <w:vAlign w:val="center"/>
          </w:tcPr>
          <w:p w:rsidR="00AF3A7A" w:rsidRPr="00F32AE0" w:rsidRDefault="00AF3A7A" w:rsidP="00F328E2">
            <w:r>
              <w:t>0.79</w:t>
            </w:r>
          </w:p>
        </w:tc>
        <w:tc>
          <w:tcPr>
            <w:tcW w:w="1417" w:type="dxa"/>
            <w:vAlign w:val="center"/>
          </w:tcPr>
          <w:p w:rsidR="00AF3A7A" w:rsidRPr="00F32AE0" w:rsidRDefault="00AF3A7A" w:rsidP="00F328E2">
            <w:r>
              <w:t>37.88</w:t>
            </w:r>
          </w:p>
        </w:tc>
        <w:tc>
          <w:tcPr>
            <w:tcW w:w="1418" w:type="dxa"/>
            <w:vAlign w:val="center"/>
          </w:tcPr>
          <w:p w:rsidR="00AF3A7A" w:rsidRPr="00F32AE0" w:rsidRDefault="00AF3A7A" w:rsidP="00F328E2"/>
        </w:tc>
        <w:tc>
          <w:tcPr>
            <w:tcW w:w="1275" w:type="dxa"/>
            <w:vAlign w:val="center"/>
          </w:tcPr>
          <w:p w:rsidR="00AF3A7A" w:rsidRPr="00F32AE0" w:rsidRDefault="00AF3A7A" w:rsidP="00F328E2">
            <w:r>
              <w:t>£</w:t>
            </w:r>
            <w:r w:rsidR="003A2D98">
              <w:t>15.05</w:t>
            </w:r>
          </w:p>
        </w:tc>
        <w:tc>
          <w:tcPr>
            <w:tcW w:w="1134" w:type="dxa"/>
            <w:vAlign w:val="center"/>
          </w:tcPr>
          <w:p w:rsidR="00AF3A7A" w:rsidRPr="00F32AE0" w:rsidRDefault="00AF3A7A" w:rsidP="00F328E2"/>
        </w:tc>
      </w:tr>
      <w:tr w:rsidR="00AF3A7A" w:rsidRPr="00F32AE0" w:rsidTr="00F328E2">
        <w:tc>
          <w:tcPr>
            <w:tcW w:w="1690" w:type="dxa"/>
            <w:vAlign w:val="center"/>
          </w:tcPr>
          <w:p w:rsidR="00AF3A7A" w:rsidRPr="008C2782" w:rsidRDefault="00AF3A7A" w:rsidP="006B4E3A">
            <w:r>
              <w:t>Sodium bicarbonate (aq)</w:t>
            </w:r>
          </w:p>
        </w:tc>
        <w:tc>
          <w:tcPr>
            <w:tcW w:w="1112" w:type="dxa"/>
            <w:vAlign w:val="center"/>
          </w:tcPr>
          <w:p w:rsidR="00AF3A7A" w:rsidRPr="00F32AE0" w:rsidRDefault="00AF3A7A" w:rsidP="00F328E2">
            <w:r>
              <w:t>80.00</w:t>
            </w:r>
          </w:p>
        </w:tc>
        <w:tc>
          <w:tcPr>
            <w:tcW w:w="1134" w:type="dxa"/>
            <w:vAlign w:val="center"/>
          </w:tcPr>
          <w:p w:rsidR="00AF3A7A" w:rsidRPr="00F32AE0" w:rsidRDefault="00AF3A7A" w:rsidP="00F328E2">
            <w:r>
              <w:t>1.00</w:t>
            </w:r>
          </w:p>
        </w:tc>
        <w:tc>
          <w:tcPr>
            <w:tcW w:w="1417" w:type="dxa"/>
            <w:vAlign w:val="center"/>
          </w:tcPr>
          <w:p w:rsidR="00AF3A7A" w:rsidRPr="00F32AE0" w:rsidRDefault="00AF3A7A" w:rsidP="00F328E2">
            <w:r>
              <w:t>80.00</w:t>
            </w:r>
          </w:p>
        </w:tc>
        <w:tc>
          <w:tcPr>
            <w:tcW w:w="1418" w:type="dxa"/>
            <w:vAlign w:val="center"/>
          </w:tcPr>
          <w:p w:rsidR="00AF3A7A" w:rsidRPr="00F32AE0" w:rsidRDefault="00AF3A7A" w:rsidP="00F328E2"/>
        </w:tc>
        <w:tc>
          <w:tcPr>
            <w:tcW w:w="1275" w:type="dxa"/>
            <w:vAlign w:val="center"/>
          </w:tcPr>
          <w:p w:rsidR="00AF3A7A" w:rsidRPr="00F32AE0" w:rsidRDefault="00AF3A7A" w:rsidP="00F328E2">
            <w:r>
              <w:t>£2.00</w:t>
            </w:r>
          </w:p>
        </w:tc>
        <w:tc>
          <w:tcPr>
            <w:tcW w:w="1134" w:type="dxa"/>
            <w:vAlign w:val="center"/>
          </w:tcPr>
          <w:p w:rsidR="00AF3A7A" w:rsidRPr="00F32AE0" w:rsidRDefault="00AF3A7A" w:rsidP="00F328E2"/>
        </w:tc>
      </w:tr>
      <w:tr w:rsidR="00AF3A7A" w:rsidRPr="00F32AE0" w:rsidTr="00F328E2">
        <w:tc>
          <w:tcPr>
            <w:tcW w:w="1690" w:type="dxa"/>
            <w:vAlign w:val="center"/>
          </w:tcPr>
          <w:p w:rsidR="00AF3A7A" w:rsidRPr="008C2782" w:rsidRDefault="00AF3A7A" w:rsidP="00F328E2">
            <w:r>
              <w:t>Ethyl acetate*</w:t>
            </w:r>
          </w:p>
        </w:tc>
        <w:tc>
          <w:tcPr>
            <w:tcW w:w="1112" w:type="dxa"/>
            <w:vAlign w:val="center"/>
          </w:tcPr>
          <w:p w:rsidR="00AF3A7A" w:rsidRPr="00F32AE0" w:rsidRDefault="00AF3A7A" w:rsidP="00F328E2">
            <w:r>
              <w:t>90.00</w:t>
            </w:r>
          </w:p>
        </w:tc>
        <w:tc>
          <w:tcPr>
            <w:tcW w:w="1134" w:type="dxa"/>
            <w:vAlign w:val="center"/>
          </w:tcPr>
          <w:p w:rsidR="00AF3A7A" w:rsidRPr="00F32AE0" w:rsidRDefault="00AF3A7A" w:rsidP="00F328E2">
            <w:r>
              <w:t>0.90</w:t>
            </w:r>
          </w:p>
        </w:tc>
        <w:tc>
          <w:tcPr>
            <w:tcW w:w="1417" w:type="dxa"/>
            <w:vAlign w:val="center"/>
          </w:tcPr>
          <w:p w:rsidR="00AF3A7A" w:rsidRPr="00F32AE0" w:rsidRDefault="00AF3A7A" w:rsidP="00F328E2">
            <w:r>
              <w:t>100.33</w:t>
            </w:r>
          </w:p>
        </w:tc>
        <w:tc>
          <w:tcPr>
            <w:tcW w:w="1418" w:type="dxa"/>
            <w:vAlign w:val="center"/>
          </w:tcPr>
          <w:p w:rsidR="00AF3A7A" w:rsidRPr="00F32AE0" w:rsidRDefault="00AF3A7A" w:rsidP="00F328E2"/>
        </w:tc>
        <w:tc>
          <w:tcPr>
            <w:tcW w:w="1275" w:type="dxa"/>
            <w:vAlign w:val="center"/>
          </w:tcPr>
          <w:p w:rsidR="00AF3A7A" w:rsidRPr="00F32AE0" w:rsidRDefault="00AF3A7A" w:rsidP="00F328E2">
            <w:r>
              <w:t>£37.90</w:t>
            </w:r>
          </w:p>
        </w:tc>
        <w:tc>
          <w:tcPr>
            <w:tcW w:w="1134" w:type="dxa"/>
            <w:vAlign w:val="center"/>
          </w:tcPr>
          <w:p w:rsidR="00AF3A7A" w:rsidRPr="00F32AE0" w:rsidRDefault="00AF3A7A" w:rsidP="00F328E2"/>
        </w:tc>
      </w:tr>
      <w:tr w:rsidR="00AF3A7A" w:rsidRPr="00F32AE0" w:rsidTr="00F328E2">
        <w:tc>
          <w:tcPr>
            <w:tcW w:w="1690" w:type="dxa"/>
            <w:vAlign w:val="center"/>
          </w:tcPr>
          <w:p w:rsidR="00AF3A7A" w:rsidRPr="00AF3A7A" w:rsidRDefault="00AF3A7A" w:rsidP="00F328E2">
            <w:pPr>
              <w:rPr>
                <w:b/>
              </w:rPr>
            </w:pPr>
            <w:r w:rsidRPr="00AF3A7A">
              <w:rPr>
                <w:b/>
              </w:rPr>
              <w:t>Total</w:t>
            </w:r>
          </w:p>
        </w:tc>
        <w:tc>
          <w:tcPr>
            <w:tcW w:w="1112" w:type="dxa"/>
            <w:vAlign w:val="center"/>
          </w:tcPr>
          <w:p w:rsidR="00AF3A7A" w:rsidRPr="00F32AE0" w:rsidRDefault="00AF3A7A" w:rsidP="00F328E2"/>
        </w:tc>
        <w:tc>
          <w:tcPr>
            <w:tcW w:w="1134" w:type="dxa"/>
            <w:vAlign w:val="center"/>
          </w:tcPr>
          <w:p w:rsidR="00AF3A7A" w:rsidRPr="00F32AE0" w:rsidRDefault="00AF3A7A" w:rsidP="00F328E2"/>
        </w:tc>
        <w:tc>
          <w:tcPr>
            <w:tcW w:w="1417" w:type="dxa"/>
            <w:vAlign w:val="center"/>
          </w:tcPr>
          <w:p w:rsidR="00AF3A7A" w:rsidRPr="00F32AE0" w:rsidRDefault="00AF3A7A" w:rsidP="00F328E2"/>
        </w:tc>
        <w:tc>
          <w:tcPr>
            <w:tcW w:w="1418" w:type="dxa"/>
            <w:vAlign w:val="center"/>
          </w:tcPr>
          <w:p w:rsidR="00AF3A7A" w:rsidRPr="00F32AE0" w:rsidRDefault="00AF3A7A" w:rsidP="00F328E2"/>
        </w:tc>
        <w:tc>
          <w:tcPr>
            <w:tcW w:w="1275" w:type="dxa"/>
            <w:vAlign w:val="center"/>
          </w:tcPr>
          <w:p w:rsidR="00AF3A7A" w:rsidRPr="00F32AE0" w:rsidRDefault="00AF3A7A" w:rsidP="00F328E2"/>
        </w:tc>
        <w:tc>
          <w:tcPr>
            <w:tcW w:w="1134" w:type="dxa"/>
            <w:vAlign w:val="center"/>
          </w:tcPr>
          <w:p w:rsidR="00AF3A7A" w:rsidRPr="00F32AE0" w:rsidRDefault="00AF3A7A" w:rsidP="00F328E2"/>
        </w:tc>
      </w:tr>
    </w:tbl>
    <w:p w:rsidR="00F328E2" w:rsidRDefault="00F328E2" w:rsidP="00F328E2"/>
    <w:p w:rsidR="00E576CA" w:rsidRDefault="00E576CA">
      <w:pPr>
        <w:keepLines w:val="0"/>
        <w:spacing w:before="200" w:after="0"/>
        <w:rPr>
          <w:b/>
          <w:color w:val="2C4D67"/>
        </w:rPr>
      </w:pPr>
      <w:r>
        <w:br w:type="page"/>
      </w:r>
    </w:p>
    <w:p w:rsidR="00F328E2" w:rsidRDefault="00F328E2" w:rsidP="00F328E2">
      <w:pPr>
        <w:pStyle w:val="Table"/>
      </w:pPr>
      <w:r>
        <w:lastRenderedPageBreak/>
        <w:t xml:space="preserve">Table </w:t>
      </w:r>
      <w:fldSimple w:instr=" SEQ Table \* ARABIC ">
        <w:r>
          <w:rPr>
            <w:noProof/>
          </w:rPr>
          <w:t>2</w:t>
        </w:r>
      </w:fldSimple>
      <w:r>
        <w:t>: Method 2</w:t>
      </w:r>
      <w:r w:rsidRPr="00F328E2">
        <w:t xml:space="preserve"> costs</w:t>
      </w:r>
    </w:p>
    <w:tbl>
      <w:tblPr>
        <w:tblStyle w:val="TableGrid"/>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Method 2 costs"/>
      </w:tblPr>
      <w:tblGrid>
        <w:gridCol w:w="1690"/>
        <w:gridCol w:w="1112"/>
        <w:gridCol w:w="1134"/>
        <w:gridCol w:w="1417"/>
        <w:gridCol w:w="1418"/>
        <w:gridCol w:w="1275"/>
        <w:gridCol w:w="1134"/>
      </w:tblGrid>
      <w:tr w:rsidR="00F41E5F" w:rsidRPr="008A6AD0" w:rsidTr="00F328E2">
        <w:trPr>
          <w:tblHeader/>
        </w:trPr>
        <w:tc>
          <w:tcPr>
            <w:tcW w:w="1690" w:type="dxa"/>
            <w:tcBorders>
              <w:bottom w:val="single" w:sz="4" w:space="0" w:color="auto"/>
            </w:tcBorders>
            <w:vAlign w:val="center"/>
          </w:tcPr>
          <w:p w:rsidR="00F41E5F" w:rsidRPr="00067971" w:rsidRDefault="00F41E5F" w:rsidP="00F328E2">
            <w:pPr>
              <w:rPr>
                <w:b/>
              </w:rPr>
            </w:pPr>
            <w:r w:rsidRPr="00067971">
              <w:rPr>
                <w:b/>
              </w:rPr>
              <w:t>Material</w:t>
            </w:r>
          </w:p>
        </w:tc>
        <w:tc>
          <w:tcPr>
            <w:tcW w:w="1112" w:type="dxa"/>
            <w:tcBorders>
              <w:bottom w:val="single" w:sz="4" w:space="0" w:color="auto"/>
            </w:tcBorders>
            <w:vAlign w:val="center"/>
          </w:tcPr>
          <w:p w:rsidR="00F41E5F" w:rsidRPr="00067971" w:rsidRDefault="00F41E5F" w:rsidP="00F328E2">
            <w:pPr>
              <w:rPr>
                <w:b/>
              </w:rPr>
            </w:pPr>
            <w:r w:rsidRPr="00067971">
              <w:rPr>
                <w:b/>
              </w:rPr>
              <w:t>Volume / mL</w:t>
            </w:r>
          </w:p>
        </w:tc>
        <w:tc>
          <w:tcPr>
            <w:tcW w:w="1134" w:type="dxa"/>
            <w:tcBorders>
              <w:bottom w:val="single" w:sz="4" w:space="0" w:color="auto"/>
            </w:tcBorders>
            <w:vAlign w:val="center"/>
          </w:tcPr>
          <w:p w:rsidR="00F41E5F" w:rsidRPr="00067971" w:rsidRDefault="00F41E5F" w:rsidP="00BC70AC">
            <w:pPr>
              <w:rPr>
                <w:b/>
              </w:rPr>
            </w:pPr>
            <w:r w:rsidRPr="00067971">
              <w:rPr>
                <w:b/>
              </w:rPr>
              <w:t>Density / g cm</w:t>
            </w:r>
            <w:r w:rsidR="00BC70AC" w:rsidRPr="00067971">
              <w:rPr>
                <w:b/>
                <w:vertAlign w:val="superscript"/>
              </w:rPr>
              <w:t>-</w:t>
            </w:r>
            <w:r w:rsidRPr="00067971">
              <w:rPr>
                <w:b/>
                <w:vertAlign w:val="superscript"/>
              </w:rPr>
              <w:t>3</w:t>
            </w:r>
          </w:p>
        </w:tc>
        <w:tc>
          <w:tcPr>
            <w:tcW w:w="1417" w:type="dxa"/>
            <w:tcBorders>
              <w:bottom w:val="single" w:sz="4" w:space="0" w:color="auto"/>
            </w:tcBorders>
            <w:vAlign w:val="center"/>
          </w:tcPr>
          <w:p w:rsidR="00F41E5F" w:rsidRPr="00067971" w:rsidRDefault="00F41E5F" w:rsidP="00F328E2">
            <w:pPr>
              <w:rPr>
                <w:b/>
              </w:rPr>
            </w:pPr>
            <w:r w:rsidRPr="00067971">
              <w:rPr>
                <w:b/>
              </w:rPr>
              <w:t>Mass used in prep / g</w:t>
            </w:r>
          </w:p>
        </w:tc>
        <w:tc>
          <w:tcPr>
            <w:tcW w:w="1418" w:type="dxa"/>
            <w:tcBorders>
              <w:bottom w:val="single" w:sz="4" w:space="0" w:color="auto"/>
            </w:tcBorders>
            <w:vAlign w:val="center"/>
          </w:tcPr>
          <w:p w:rsidR="00F41E5F" w:rsidRPr="00067971" w:rsidRDefault="00F41E5F" w:rsidP="00F328E2">
            <w:pPr>
              <w:rPr>
                <w:b/>
              </w:rPr>
            </w:pPr>
            <w:r w:rsidRPr="00067971">
              <w:rPr>
                <w:b/>
              </w:rPr>
              <w:t>Mass needed to make 15 kg / kg</w:t>
            </w:r>
          </w:p>
        </w:tc>
        <w:tc>
          <w:tcPr>
            <w:tcW w:w="1275" w:type="dxa"/>
            <w:tcBorders>
              <w:bottom w:val="single" w:sz="4" w:space="0" w:color="auto"/>
            </w:tcBorders>
            <w:vAlign w:val="center"/>
          </w:tcPr>
          <w:p w:rsidR="00F41E5F" w:rsidRPr="00067971" w:rsidRDefault="00F41E5F" w:rsidP="00F328E2">
            <w:pPr>
              <w:rPr>
                <w:b/>
              </w:rPr>
            </w:pPr>
            <w:r w:rsidRPr="00067971">
              <w:rPr>
                <w:b/>
              </w:rPr>
              <w:t>Raw material cost / kg</w:t>
            </w:r>
          </w:p>
        </w:tc>
        <w:tc>
          <w:tcPr>
            <w:tcW w:w="1134" w:type="dxa"/>
            <w:tcBorders>
              <w:bottom w:val="single" w:sz="4" w:space="0" w:color="auto"/>
            </w:tcBorders>
            <w:vAlign w:val="center"/>
          </w:tcPr>
          <w:p w:rsidR="00F41E5F" w:rsidRPr="00067971" w:rsidRDefault="00F41E5F" w:rsidP="00F328E2">
            <w:pPr>
              <w:rPr>
                <w:b/>
              </w:rPr>
            </w:pPr>
            <w:r w:rsidRPr="00067971">
              <w:rPr>
                <w:b/>
              </w:rPr>
              <w:t>Cost to make 15 kg</w:t>
            </w:r>
          </w:p>
        </w:tc>
      </w:tr>
      <w:tr w:rsidR="00F41E5F" w:rsidRPr="00F32AE0" w:rsidTr="00F328E2">
        <w:tc>
          <w:tcPr>
            <w:tcW w:w="1690" w:type="dxa"/>
            <w:tcBorders>
              <w:top w:val="single" w:sz="4" w:space="0" w:color="auto"/>
            </w:tcBorders>
            <w:vAlign w:val="center"/>
          </w:tcPr>
          <w:p w:rsidR="00F41E5F" w:rsidRPr="008C2782" w:rsidRDefault="00F41E5F" w:rsidP="00F328E2">
            <w:r>
              <w:t>(</w:t>
            </w:r>
            <w:r w:rsidRPr="00AF3A7A">
              <w:rPr>
                <w:i/>
              </w:rPr>
              <w:t>R</w:t>
            </w:r>
            <w:r>
              <w:t>)-naproxen</w:t>
            </w:r>
          </w:p>
        </w:tc>
        <w:tc>
          <w:tcPr>
            <w:tcW w:w="1112" w:type="dxa"/>
            <w:tcBorders>
              <w:top w:val="single" w:sz="4" w:space="0" w:color="auto"/>
            </w:tcBorders>
            <w:vAlign w:val="center"/>
          </w:tcPr>
          <w:p w:rsidR="00F41E5F" w:rsidRPr="00F32AE0" w:rsidRDefault="008B1425" w:rsidP="00F328E2">
            <w:r>
              <w:t>N/A</w:t>
            </w:r>
          </w:p>
        </w:tc>
        <w:tc>
          <w:tcPr>
            <w:tcW w:w="1134" w:type="dxa"/>
            <w:tcBorders>
              <w:top w:val="single" w:sz="4" w:space="0" w:color="auto"/>
            </w:tcBorders>
            <w:vAlign w:val="center"/>
          </w:tcPr>
          <w:p w:rsidR="00F41E5F" w:rsidRPr="00F32AE0" w:rsidRDefault="008B1425" w:rsidP="00F328E2">
            <w:r>
              <w:t>N/A</w:t>
            </w:r>
          </w:p>
        </w:tc>
        <w:tc>
          <w:tcPr>
            <w:tcW w:w="1417" w:type="dxa"/>
            <w:tcBorders>
              <w:top w:val="single" w:sz="4" w:space="0" w:color="auto"/>
            </w:tcBorders>
            <w:vAlign w:val="center"/>
          </w:tcPr>
          <w:p w:rsidR="00F41E5F" w:rsidRPr="00F32AE0" w:rsidRDefault="00F41E5F" w:rsidP="00F328E2">
            <w:r>
              <w:t>2.00</w:t>
            </w:r>
          </w:p>
        </w:tc>
        <w:tc>
          <w:tcPr>
            <w:tcW w:w="1418" w:type="dxa"/>
            <w:tcBorders>
              <w:top w:val="single" w:sz="4" w:space="0" w:color="auto"/>
            </w:tcBorders>
            <w:vAlign w:val="center"/>
          </w:tcPr>
          <w:p w:rsidR="00F41E5F" w:rsidRPr="00F32AE0" w:rsidRDefault="00F41E5F" w:rsidP="00F328E2"/>
        </w:tc>
        <w:tc>
          <w:tcPr>
            <w:tcW w:w="1275" w:type="dxa"/>
            <w:tcBorders>
              <w:top w:val="single" w:sz="4" w:space="0" w:color="auto"/>
            </w:tcBorders>
            <w:vAlign w:val="center"/>
          </w:tcPr>
          <w:p w:rsidR="00F41E5F" w:rsidRPr="00F32AE0" w:rsidRDefault="00F41E5F" w:rsidP="00F328E2">
            <w:r>
              <w:t>£0.00</w:t>
            </w:r>
          </w:p>
        </w:tc>
        <w:tc>
          <w:tcPr>
            <w:tcW w:w="1134" w:type="dxa"/>
            <w:tcBorders>
              <w:top w:val="single" w:sz="4" w:space="0" w:color="auto"/>
            </w:tcBorders>
            <w:vAlign w:val="center"/>
          </w:tcPr>
          <w:p w:rsidR="00F41E5F" w:rsidRPr="00F32AE0" w:rsidRDefault="00F41E5F" w:rsidP="00F328E2"/>
        </w:tc>
      </w:tr>
      <w:tr w:rsidR="00F41E5F" w:rsidRPr="00F32AE0" w:rsidTr="00F328E2">
        <w:tc>
          <w:tcPr>
            <w:tcW w:w="1690" w:type="dxa"/>
            <w:vAlign w:val="center"/>
          </w:tcPr>
          <w:p w:rsidR="00F41E5F" w:rsidRPr="00AF3A7A" w:rsidRDefault="00F41E5F" w:rsidP="00F328E2">
            <w:r>
              <w:t>H</w:t>
            </w:r>
            <w:r w:rsidRPr="00AF3A7A">
              <w:rPr>
                <w:vertAlign w:val="superscript"/>
              </w:rPr>
              <w:t>+</w:t>
            </w:r>
            <w:r>
              <w:t xml:space="preserve"> resin</w:t>
            </w:r>
          </w:p>
        </w:tc>
        <w:tc>
          <w:tcPr>
            <w:tcW w:w="1112" w:type="dxa"/>
            <w:vAlign w:val="center"/>
          </w:tcPr>
          <w:p w:rsidR="00F41E5F" w:rsidRPr="00F32AE0" w:rsidRDefault="008B1425" w:rsidP="00F328E2">
            <w:r>
              <w:t>N/A</w:t>
            </w:r>
          </w:p>
        </w:tc>
        <w:tc>
          <w:tcPr>
            <w:tcW w:w="1134" w:type="dxa"/>
            <w:vAlign w:val="center"/>
          </w:tcPr>
          <w:p w:rsidR="00F41E5F" w:rsidRPr="00F32AE0" w:rsidRDefault="008B1425" w:rsidP="00F328E2">
            <w:r>
              <w:t>N/A</w:t>
            </w:r>
          </w:p>
        </w:tc>
        <w:tc>
          <w:tcPr>
            <w:tcW w:w="1417" w:type="dxa"/>
            <w:vAlign w:val="center"/>
          </w:tcPr>
          <w:p w:rsidR="00F41E5F" w:rsidRPr="00F32AE0" w:rsidRDefault="001D6F33" w:rsidP="00F328E2">
            <w:r>
              <w:t>0.50</w:t>
            </w:r>
          </w:p>
        </w:tc>
        <w:tc>
          <w:tcPr>
            <w:tcW w:w="1418" w:type="dxa"/>
            <w:vAlign w:val="center"/>
          </w:tcPr>
          <w:p w:rsidR="00F41E5F" w:rsidRPr="00F32AE0" w:rsidRDefault="00F41E5F" w:rsidP="00F328E2"/>
        </w:tc>
        <w:tc>
          <w:tcPr>
            <w:tcW w:w="1275" w:type="dxa"/>
            <w:vAlign w:val="center"/>
          </w:tcPr>
          <w:p w:rsidR="00F41E5F" w:rsidRPr="00F32AE0" w:rsidRDefault="00F41E5F" w:rsidP="00F328E2">
            <w:r>
              <w:t>£40.00</w:t>
            </w:r>
          </w:p>
        </w:tc>
        <w:tc>
          <w:tcPr>
            <w:tcW w:w="1134" w:type="dxa"/>
            <w:vAlign w:val="center"/>
          </w:tcPr>
          <w:p w:rsidR="00F41E5F" w:rsidRPr="00F32AE0" w:rsidRDefault="00F41E5F" w:rsidP="00F328E2"/>
        </w:tc>
      </w:tr>
      <w:tr w:rsidR="00F41E5F" w:rsidRPr="00F32AE0" w:rsidTr="00F328E2">
        <w:tc>
          <w:tcPr>
            <w:tcW w:w="1690" w:type="dxa"/>
            <w:vAlign w:val="center"/>
          </w:tcPr>
          <w:p w:rsidR="00F41E5F" w:rsidRPr="008C2782" w:rsidRDefault="00F41E5F" w:rsidP="00F328E2">
            <w:r>
              <w:t>MeOH*</w:t>
            </w:r>
          </w:p>
        </w:tc>
        <w:tc>
          <w:tcPr>
            <w:tcW w:w="1112" w:type="dxa"/>
            <w:vAlign w:val="center"/>
          </w:tcPr>
          <w:p w:rsidR="00F41E5F" w:rsidRPr="00AF3A7A" w:rsidRDefault="00F41E5F" w:rsidP="00F328E2">
            <w:r>
              <w:t>50.00</w:t>
            </w:r>
          </w:p>
        </w:tc>
        <w:tc>
          <w:tcPr>
            <w:tcW w:w="1134" w:type="dxa"/>
            <w:vAlign w:val="center"/>
          </w:tcPr>
          <w:p w:rsidR="00F41E5F" w:rsidRPr="00F32AE0" w:rsidRDefault="00F41E5F" w:rsidP="00F328E2">
            <w:r>
              <w:t>0.79</w:t>
            </w:r>
          </w:p>
        </w:tc>
        <w:tc>
          <w:tcPr>
            <w:tcW w:w="1417" w:type="dxa"/>
            <w:vAlign w:val="center"/>
          </w:tcPr>
          <w:p w:rsidR="00F41E5F" w:rsidRPr="00F32AE0" w:rsidRDefault="00F41E5F" w:rsidP="00F328E2">
            <w:r>
              <w:t>63.13</w:t>
            </w:r>
          </w:p>
        </w:tc>
        <w:tc>
          <w:tcPr>
            <w:tcW w:w="1418" w:type="dxa"/>
            <w:vAlign w:val="center"/>
          </w:tcPr>
          <w:p w:rsidR="00F41E5F" w:rsidRPr="00F32AE0" w:rsidRDefault="00F41E5F" w:rsidP="00F328E2"/>
        </w:tc>
        <w:tc>
          <w:tcPr>
            <w:tcW w:w="1275" w:type="dxa"/>
            <w:vAlign w:val="center"/>
          </w:tcPr>
          <w:p w:rsidR="00F41E5F" w:rsidRPr="00F32AE0" w:rsidRDefault="00F41E5F" w:rsidP="00F328E2">
            <w:r>
              <w:t>£15.05</w:t>
            </w:r>
          </w:p>
        </w:tc>
        <w:tc>
          <w:tcPr>
            <w:tcW w:w="1134" w:type="dxa"/>
            <w:vAlign w:val="center"/>
          </w:tcPr>
          <w:p w:rsidR="00F41E5F" w:rsidRPr="00F32AE0" w:rsidRDefault="00F41E5F" w:rsidP="00F328E2"/>
        </w:tc>
      </w:tr>
      <w:tr w:rsidR="00F41E5F" w:rsidRPr="00F32AE0" w:rsidTr="00F328E2">
        <w:tc>
          <w:tcPr>
            <w:tcW w:w="1690" w:type="dxa"/>
            <w:vAlign w:val="center"/>
          </w:tcPr>
          <w:p w:rsidR="00F41E5F" w:rsidRPr="008C2782" w:rsidRDefault="00F41E5F" w:rsidP="006B4E3A">
            <w:r>
              <w:t>Sodium bicarbonate (aq)</w:t>
            </w:r>
          </w:p>
        </w:tc>
        <w:tc>
          <w:tcPr>
            <w:tcW w:w="1112" w:type="dxa"/>
            <w:vAlign w:val="center"/>
          </w:tcPr>
          <w:p w:rsidR="00F41E5F" w:rsidRPr="00F32AE0" w:rsidRDefault="00F41E5F" w:rsidP="00F328E2">
            <w:r>
              <w:t>80.00</w:t>
            </w:r>
          </w:p>
        </w:tc>
        <w:tc>
          <w:tcPr>
            <w:tcW w:w="1134" w:type="dxa"/>
            <w:vAlign w:val="center"/>
          </w:tcPr>
          <w:p w:rsidR="00F41E5F" w:rsidRPr="00F32AE0" w:rsidRDefault="00F41E5F" w:rsidP="00F328E2">
            <w:r>
              <w:t>1.00</w:t>
            </w:r>
          </w:p>
        </w:tc>
        <w:tc>
          <w:tcPr>
            <w:tcW w:w="1417" w:type="dxa"/>
            <w:vAlign w:val="center"/>
          </w:tcPr>
          <w:p w:rsidR="00F41E5F" w:rsidRPr="00F32AE0" w:rsidRDefault="00F41E5F" w:rsidP="00F328E2">
            <w:r>
              <w:t>80.00</w:t>
            </w:r>
          </w:p>
        </w:tc>
        <w:tc>
          <w:tcPr>
            <w:tcW w:w="1418" w:type="dxa"/>
            <w:vAlign w:val="center"/>
          </w:tcPr>
          <w:p w:rsidR="00F41E5F" w:rsidRPr="00F32AE0" w:rsidRDefault="00F41E5F" w:rsidP="00F328E2"/>
        </w:tc>
        <w:tc>
          <w:tcPr>
            <w:tcW w:w="1275" w:type="dxa"/>
            <w:vAlign w:val="center"/>
          </w:tcPr>
          <w:p w:rsidR="00F41E5F" w:rsidRPr="00F32AE0" w:rsidRDefault="00F41E5F" w:rsidP="00F328E2">
            <w:r>
              <w:t>£2.00</w:t>
            </w:r>
          </w:p>
        </w:tc>
        <w:tc>
          <w:tcPr>
            <w:tcW w:w="1134" w:type="dxa"/>
            <w:vAlign w:val="center"/>
          </w:tcPr>
          <w:p w:rsidR="00F41E5F" w:rsidRPr="00F32AE0" w:rsidRDefault="00F41E5F" w:rsidP="00F328E2"/>
        </w:tc>
      </w:tr>
      <w:tr w:rsidR="00F41E5F" w:rsidRPr="00F32AE0" w:rsidTr="00F328E2">
        <w:tc>
          <w:tcPr>
            <w:tcW w:w="1690" w:type="dxa"/>
            <w:vAlign w:val="center"/>
          </w:tcPr>
          <w:p w:rsidR="00F41E5F" w:rsidRPr="008C2782" w:rsidRDefault="00F41E5F" w:rsidP="00F328E2">
            <w:r>
              <w:t>Ethyl acetate*</w:t>
            </w:r>
          </w:p>
        </w:tc>
        <w:tc>
          <w:tcPr>
            <w:tcW w:w="1112" w:type="dxa"/>
            <w:vAlign w:val="center"/>
          </w:tcPr>
          <w:p w:rsidR="00F41E5F" w:rsidRPr="00F32AE0" w:rsidRDefault="00F41E5F" w:rsidP="00F328E2">
            <w:r>
              <w:t>100.00</w:t>
            </w:r>
          </w:p>
        </w:tc>
        <w:tc>
          <w:tcPr>
            <w:tcW w:w="1134" w:type="dxa"/>
            <w:vAlign w:val="center"/>
          </w:tcPr>
          <w:p w:rsidR="00F41E5F" w:rsidRPr="00F32AE0" w:rsidRDefault="00F41E5F" w:rsidP="00F328E2">
            <w:r>
              <w:t>0.90</w:t>
            </w:r>
          </w:p>
        </w:tc>
        <w:tc>
          <w:tcPr>
            <w:tcW w:w="1417" w:type="dxa"/>
            <w:vAlign w:val="center"/>
          </w:tcPr>
          <w:p w:rsidR="00F41E5F" w:rsidRPr="00F32AE0" w:rsidRDefault="00F41E5F" w:rsidP="00F328E2">
            <w:r>
              <w:t>111.48</w:t>
            </w:r>
          </w:p>
        </w:tc>
        <w:tc>
          <w:tcPr>
            <w:tcW w:w="1418" w:type="dxa"/>
            <w:vAlign w:val="center"/>
          </w:tcPr>
          <w:p w:rsidR="00F41E5F" w:rsidRPr="00F32AE0" w:rsidRDefault="00F41E5F" w:rsidP="00F328E2"/>
        </w:tc>
        <w:tc>
          <w:tcPr>
            <w:tcW w:w="1275" w:type="dxa"/>
            <w:vAlign w:val="center"/>
          </w:tcPr>
          <w:p w:rsidR="00F41E5F" w:rsidRPr="00F32AE0" w:rsidRDefault="00F41E5F" w:rsidP="00EC214A">
            <w:r>
              <w:t>£</w:t>
            </w:r>
            <w:r w:rsidR="00EC214A">
              <w:t>37.90</w:t>
            </w:r>
          </w:p>
        </w:tc>
        <w:tc>
          <w:tcPr>
            <w:tcW w:w="1134" w:type="dxa"/>
            <w:vAlign w:val="center"/>
          </w:tcPr>
          <w:p w:rsidR="00F41E5F" w:rsidRPr="00F32AE0" w:rsidRDefault="00F41E5F" w:rsidP="00F328E2"/>
        </w:tc>
      </w:tr>
      <w:tr w:rsidR="00F41E5F" w:rsidRPr="00F32AE0" w:rsidTr="00F328E2">
        <w:tc>
          <w:tcPr>
            <w:tcW w:w="1690" w:type="dxa"/>
            <w:vAlign w:val="center"/>
          </w:tcPr>
          <w:p w:rsidR="00F41E5F" w:rsidRPr="00AF3A7A" w:rsidRDefault="00F41E5F" w:rsidP="00F328E2">
            <w:pPr>
              <w:rPr>
                <w:b/>
              </w:rPr>
            </w:pPr>
            <w:r w:rsidRPr="00AF3A7A">
              <w:rPr>
                <w:b/>
              </w:rPr>
              <w:t>Total</w:t>
            </w:r>
          </w:p>
        </w:tc>
        <w:tc>
          <w:tcPr>
            <w:tcW w:w="1112" w:type="dxa"/>
            <w:vAlign w:val="center"/>
          </w:tcPr>
          <w:p w:rsidR="00F41E5F" w:rsidRPr="00F32AE0" w:rsidRDefault="00F41E5F" w:rsidP="00F328E2"/>
        </w:tc>
        <w:tc>
          <w:tcPr>
            <w:tcW w:w="1134" w:type="dxa"/>
            <w:vAlign w:val="center"/>
          </w:tcPr>
          <w:p w:rsidR="00F41E5F" w:rsidRPr="00F32AE0" w:rsidRDefault="00F41E5F" w:rsidP="00F328E2"/>
        </w:tc>
        <w:tc>
          <w:tcPr>
            <w:tcW w:w="1417" w:type="dxa"/>
            <w:vAlign w:val="center"/>
          </w:tcPr>
          <w:p w:rsidR="00F41E5F" w:rsidRPr="00F32AE0" w:rsidRDefault="00F41E5F" w:rsidP="00F328E2"/>
        </w:tc>
        <w:tc>
          <w:tcPr>
            <w:tcW w:w="1418" w:type="dxa"/>
            <w:vAlign w:val="center"/>
          </w:tcPr>
          <w:p w:rsidR="00F41E5F" w:rsidRPr="00F32AE0" w:rsidRDefault="00F41E5F" w:rsidP="00F328E2"/>
        </w:tc>
        <w:tc>
          <w:tcPr>
            <w:tcW w:w="1275" w:type="dxa"/>
            <w:vAlign w:val="center"/>
          </w:tcPr>
          <w:p w:rsidR="00F41E5F" w:rsidRPr="00F32AE0" w:rsidRDefault="00F41E5F" w:rsidP="00F328E2"/>
        </w:tc>
        <w:tc>
          <w:tcPr>
            <w:tcW w:w="1134" w:type="dxa"/>
            <w:vAlign w:val="center"/>
          </w:tcPr>
          <w:p w:rsidR="00F41E5F" w:rsidRPr="00F32AE0" w:rsidRDefault="00F41E5F" w:rsidP="00F328E2"/>
        </w:tc>
      </w:tr>
    </w:tbl>
    <w:p w:rsidR="00F41E5F" w:rsidRDefault="00F41E5F" w:rsidP="00F41E5F">
      <w:r>
        <w:t>*For this exercise we are providing you with laboratory solvent costings but in reality the actual solvent costs would be about ten times less per kg on pilot plant scale than on the lab scale (because of bulk delivery and storage).</w:t>
      </w:r>
    </w:p>
    <w:p w:rsidR="00F41E5F" w:rsidRDefault="00F41E5F" w:rsidP="00F41E5F">
      <w:r>
        <w:t>B) Amberlyst resin can be used 4</w:t>
      </w:r>
      <w:r w:rsidR="00BC70AC">
        <w:t xml:space="preserve"> </w:t>
      </w:r>
      <w:r w:rsidR="008B1425">
        <w:t>–</w:t>
      </w:r>
      <w:r w:rsidR="00BC70AC">
        <w:t xml:space="preserve"> </w:t>
      </w:r>
      <w:r>
        <w:t>5 times. Discuss what impact this would have on the sustainability of each process.</w:t>
      </w:r>
    </w:p>
    <w:p w:rsidR="00F41E5F" w:rsidRDefault="00F41E5F" w:rsidP="00F41E5F">
      <w:r>
        <w:t>C) The two methods require heating to different temperatures for different lengths of time. Discuss what impact you think this will have on their usefulness in a pilot plant.</w:t>
      </w:r>
    </w:p>
    <w:sectPr w:rsidR="00F41E5F" w:rsidSect="00E331A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7A" w:rsidRDefault="00AF3A7A" w:rsidP="000D3D40">
      <w:r>
        <w:separator/>
      </w:r>
    </w:p>
  </w:endnote>
  <w:endnote w:type="continuationSeparator" w:id="0">
    <w:p w:rsidR="00AF3A7A" w:rsidRDefault="00AF3A7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1E" w:rsidRDefault="007A3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7A" w:rsidRDefault="00AF3A7A" w:rsidP="000D3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7A" w:rsidRPr="00E347E4" w:rsidRDefault="00E347E4" w:rsidP="00E347E4">
    <w:pPr>
      <w:pStyle w:val="Footer"/>
    </w:pPr>
    <w:r>
      <w:t>This resource “</w:t>
    </w:r>
    <w:r>
      <w:rPr>
        <w:i/>
      </w:rPr>
      <w:t>new name</w:t>
    </w:r>
    <w:r>
      <w:t>”, is a derivative of “Naproxen workshop 1 -</w:t>
    </w:r>
    <w:proofErr w:type="spellStart"/>
    <w:r>
      <w:t>handout</w:t>
    </w:r>
    <w:proofErr w:type="spellEnd"/>
    <w:r>
      <w:t>”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7A" w:rsidRDefault="00AF3A7A" w:rsidP="000D3D40">
      <w:r>
        <w:separator/>
      </w:r>
    </w:p>
  </w:footnote>
  <w:footnote w:type="continuationSeparator" w:id="0">
    <w:p w:rsidR="00AF3A7A" w:rsidRDefault="00AF3A7A"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1E" w:rsidRDefault="007A3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C1E" w:rsidRDefault="007A3C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7A" w:rsidRDefault="00AF3A7A" w:rsidP="000D3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355C3"/>
    <w:rsid w:val="00050426"/>
    <w:rsid w:val="0006026C"/>
    <w:rsid w:val="00067971"/>
    <w:rsid w:val="000709BF"/>
    <w:rsid w:val="000D3D40"/>
    <w:rsid w:val="000D440E"/>
    <w:rsid w:val="0010603F"/>
    <w:rsid w:val="00111C95"/>
    <w:rsid w:val="00112D04"/>
    <w:rsid w:val="001167A2"/>
    <w:rsid w:val="00165309"/>
    <w:rsid w:val="00170457"/>
    <w:rsid w:val="0018383B"/>
    <w:rsid w:val="001B7EB7"/>
    <w:rsid w:val="001D1E2A"/>
    <w:rsid w:val="001D6F33"/>
    <w:rsid w:val="001D7818"/>
    <w:rsid w:val="001E0F30"/>
    <w:rsid w:val="001F2D6F"/>
    <w:rsid w:val="001F589D"/>
    <w:rsid w:val="00200C3D"/>
    <w:rsid w:val="00210131"/>
    <w:rsid w:val="002117FF"/>
    <w:rsid w:val="00226D1A"/>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44B42"/>
    <w:rsid w:val="00361A0D"/>
    <w:rsid w:val="003A2D98"/>
    <w:rsid w:val="003B3451"/>
    <w:rsid w:val="003C026F"/>
    <w:rsid w:val="003D3F02"/>
    <w:rsid w:val="003D54D0"/>
    <w:rsid w:val="003D6B89"/>
    <w:rsid w:val="003E2810"/>
    <w:rsid w:val="003F24EB"/>
    <w:rsid w:val="003F631F"/>
    <w:rsid w:val="003F79F1"/>
    <w:rsid w:val="00400C63"/>
    <w:rsid w:val="00413366"/>
    <w:rsid w:val="00424F9A"/>
    <w:rsid w:val="00427B37"/>
    <w:rsid w:val="00427CE5"/>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B6ED5"/>
    <w:rsid w:val="005C02D2"/>
    <w:rsid w:val="005C4C2B"/>
    <w:rsid w:val="005D2EFB"/>
    <w:rsid w:val="005D668B"/>
    <w:rsid w:val="005F1C11"/>
    <w:rsid w:val="005F451D"/>
    <w:rsid w:val="00613760"/>
    <w:rsid w:val="00635F98"/>
    <w:rsid w:val="006437AB"/>
    <w:rsid w:val="006525C2"/>
    <w:rsid w:val="006532A6"/>
    <w:rsid w:val="00666EFE"/>
    <w:rsid w:val="0067206C"/>
    <w:rsid w:val="006758AB"/>
    <w:rsid w:val="006B42FF"/>
    <w:rsid w:val="006B4E3A"/>
    <w:rsid w:val="006D3E26"/>
    <w:rsid w:val="006F6F73"/>
    <w:rsid w:val="00707FDD"/>
    <w:rsid w:val="00714A35"/>
    <w:rsid w:val="0072388F"/>
    <w:rsid w:val="00723F23"/>
    <w:rsid w:val="007358E3"/>
    <w:rsid w:val="0075451A"/>
    <w:rsid w:val="00755189"/>
    <w:rsid w:val="00755C7E"/>
    <w:rsid w:val="00784400"/>
    <w:rsid w:val="007A3C1E"/>
    <w:rsid w:val="007C1813"/>
    <w:rsid w:val="0081005F"/>
    <w:rsid w:val="008342DB"/>
    <w:rsid w:val="00836F07"/>
    <w:rsid w:val="00853A62"/>
    <w:rsid w:val="00854D32"/>
    <w:rsid w:val="00857888"/>
    <w:rsid w:val="00870502"/>
    <w:rsid w:val="00873C13"/>
    <w:rsid w:val="00881418"/>
    <w:rsid w:val="00885B52"/>
    <w:rsid w:val="008A3B63"/>
    <w:rsid w:val="008A6AD0"/>
    <w:rsid w:val="008B1425"/>
    <w:rsid w:val="008B3961"/>
    <w:rsid w:val="008C2782"/>
    <w:rsid w:val="008E2859"/>
    <w:rsid w:val="0090405B"/>
    <w:rsid w:val="00915C84"/>
    <w:rsid w:val="00923E53"/>
    <w:rsid w:val="00972310"/>
    <w:rsid w:val="00982F78"/>
    <w:rsid w:val="00987FC3"/>
    <w:rsid w:val="009C5777"/>
    <w:rsid w:val="009D4E77"/>
    <w:rsid w:val="009D63E6"/>
    <w:rsid w:val="009F0DFC"/>
    <w:rsid w:val="009F3445"/>
    <w:rsid w:val="00A04A6D"/>
    <w:rsid w:val="00A50EEB"/>
    <w:rsid w:val="00A52886"/>
    <w:rsid w:val="00A75F4C"/>
    <w:rsid w:val="00A9584B"/>
    <w:rsid w:val="00AB1738"/>
    <w:rsid w:val="00AF3542"/>
    <w:rsid w:val="00AF3A7A"/>
    <w:rsid w:val="00AF776F"/>
    <w:rsid w:val="00B20041"/>
    <w:rsid w:val="00BA512C"/>
    <w:rsid w:val="00BB1F22"/>
    <w:rsid w:val="00BC70AC"/>
    <w:rsid w:val="00C17DDC"/>
    <w:rsid w:val="00C209C0"/>
    <w:rsid w:val="00C3053B"/>
    <w:rsid w:val="00CD10BF"/>
    <w:rsid w:val="00D174D9"/>
    <w:rsid w:val="00D20A6A"/>
    <w:rsid w:val="00D34A04"/>
    <w:rsid w:val="00D5111B"/>
    <w:rsid w:val="00D60214"/>
    <w:rsid w:val="00D62F8A"/>
    <w:rsid w:val="00D71A1A"/>
    <w:rsid w:val="00D800A1"/>
    <w:rsid w:val="00D90054"/>
    <w:rsid w:val="00DC64EC"/>
    <w:rsid w:val="00DD6FD3"/>
    <w:rsid w:val="00E15396"/>
    <w:rsid w:val="00E160E0"/>
    <w:rsid w:val="00E17C67"/>
    <w:rsid w:val="00E331A7"/>
    <w:rsid w:val="00E347E4"/>
    <w:rsid w:val="00E47850"/>
    <w:rsid w:val="00E47D2B"/>
    <w:rsid w:val="00E5491A"/>
    <w:rsid w:val="00E576CA"/>
    <w:rsid w:val="00E61773"/>
    <w:rsid w:val="00E86125"/>
    <w:rsid w:val="00EA0301"/>
    <w:rsid w:val="00EC0B8E"/>
    <w:rsid w:val="00EC214A"/>
    <w:rsid w:val="00ED609E"/>
    <w:rsid w:val="00EF1342"/>
    <w:rsid w:val="00F05BEA"/>
    <w:rsid w:val="00F328E2"/>
    <w:rsid w:val="00F32AE0"/>
    <w:rsid w:val="00F33F60"/>
    <w:rsid w:val="00F41E5F"/>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5B6ED5"/>
    <w:rPr>
      <w:sz w:val="16"/>
      <w:szCs w:val="16"/>
    </w:rPr>
  </w:style>
  <w:style w:type="paragraph" w:styleId="CommentText">
    <w:name w:val="annotation text"/>
    <w:basedOn w:val="Normal"/>
    <w:link w:val="CommentTextChar"/>
    <w:uiPriority w:val="99"/>
    <w:semiHidden/>
    <w:unhideWhenUsed/>
    <w:rsid w:val="005B6ED5"/>
    <w:rPr>
      <w:sz w:val="20"/>
    </w:rPr>
  </w:style>
  <w:style w:type="character" w:customStyle="1" w:styleId="CommentTextChar">
    <w:name w:val="Comment Text Char"/>
    <w:basedOn w:val="DefaultParagraphFont"/>
    <w:link w:val="CommentText"/>
    <w:uiPriority w:val="99"/>
    <w:semiHidden/>
    <w:rsid w:val="005B6E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B6ED5"/>
    <w:rPr>
      <w:b/>
      <w:bCs/>
    </w:rPr>
  </w:style>
  <w:style w:type="character" w:customStyle="1" w:styleId="CommentSubjectChar">
    <w:name w:val="Comment Subject Char"/>
    <w:basedOn w:val="CommentTextChar"/>
    <w:link w:val="CommentSubject"/>
    <w:uiPriority w:val="99"/>
    <w:semiHidden/>
    <w:rsid w:val="005B6ED5"/>
    <w:rPr>
      <w:rFonts w:ascii="Arial" w:hAnsi="Arial" w:cs="Arial"/>
      <w:b/>
      <w:bCs/>
      <w:sz w:val="20"/>
      <w:szCs w:val="20"/>
    </w:rPr>
  </w:style>
  <w:style w:type="paragraph" w:styleId="Caption">
    <w:name w:val="caption"/>
    <w:basedOn w:val="Normal"/>
    <w:next w:val="Normal"/>
    <w:uiPriority w:val="35"/>
    <w:unhideWhenUsed/>
    <w:qFormat/>
    <w:rsid w:val="00F328E2"/>
    <w:pPr>
      <w:spacing w:after="200"/>
    </w:pPr>
    <w:rPr>
      <w:b/>
      <w:bCs/>
      <w:color w:val="4F81BD" w:themeColor="accent1"/>
      <w:sz w:val="18"/>
      <w:szCs w:val="18"/>
    </w:rPr>
  </w:style>
  <w:style w:type="paragraph" w:customStyle="1" w:styleId="Table">
    <w:name w:val="Table"/>
    <w:basedOn w:val="Normal"/>
    <w:qFormat/>
    <w:rsid w:val="00F328E2"/>
    <w:pPr>
      <w:keepNext/>
      <w:spacing w:after="0"/>
    </w:pPr>
    <w:rPr>
      <w:b/>
      <w:color w:val="2C4D6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5B6ED5"/>
    <w:rPr>
      <w:sz w:val="16"/>
      <w:szCs w:val="16"/>
    </w:rPr>
  </w:style>
  <w:style w:type="paragraph" w:styleId="CommentText">
    <w:name w:val="annotation text"/>
    <w:basedOn w:val="Normal"/>
    <w:link w:val="CommentTextChar"/>
    <w:uiPriority w:val="99"/>
    <w:semiHidden/>
    <w:unhideWhenUsed/>
    <w:rsid w:val="005B6ED5"/>
    <w:rPr>
      <w:sz w:val="20"/>
    </w:rPr>
  </w:style>
  <w:style w:type="character" w:customStyle="1" w:styleId="CommentTextChar">
    <w:name w:val="Comment Text Char"/>
    <w:basedOn w:val="DefaultParagraphFont"/>
    <w:link w:val="CommentText"/>
    <w:uiPriority w:val="99"/>
    <w:semiHidden/>
    <w:rsid w:val="005B6E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B6ED5"/>
    <w:rPr>
      <w:b/>
      <w:bCs/>
    </w:rPr>
  </w:style>
  <w:style w:type="character" w:customStyle="1" w:styleId="CommentSubjectChar">
    <w:name w:val="Comment Subject Char"/>
    <w:basedOn w:val="CommentTextChar"/>
    <w:link w:val="CommentSubject"/>
    <w:uiPriority w:val="99"/>
    <w:semiHidden/>
    <w:rsid w:val="005B6ED5"/>
    <w:rPr>
      <w:rFonts w:ascii="Arial" w:hAnsi="Arial" w:cs="Arial"/>
      <w:b/>
      <w:bCs/>
      <w:sz w:val="20"/>
      <w:szCs w:val="20"/>
    </w:rPr>
  </w:style>
  <w:style w:type="paragraph" w:styleId="Caption">
    <w:name w:val="caption"/>
    <w:basedOn w:val="Normal"/>
    <w:next w:val="Normal"/>
    <w:uiPriority w:val="35"/>
    <w:unhideWhenUsed/>
    <w:qFormat/>
    <w:rsid w:val="00F328E2"/>
    <w:pPr>
      <w:spacing w:after="200"/>
    </w:pPr>
    <w:rPr>
      <w:b/>
      <w:bCs/>
      <w:color w:val="4F81BD" w:themeColor="accent1"/>
      <w:sz w:val="18"/>
      <w:szCs w:val="18"/>
    </w:rPr>
  </w:style>
  <w:style w:type="paragraph" w:customStyle="1" w:styleId="Table">
    <w:name w:val="Table"/>
    <w:basedOn w:val="Normal"/>
    <w:qFormat/>
    <w:rsid w:val="00F328E2"/>
    <w:pPr>
      <w:keepNext/>
      <w:spacing w:after="0"/>
    </w:pPr>
    <w:rPr>
      <w:b/>
      <w:color w:val="2C4D6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074761-3B67-4A8D-9857-B9F8BC370A4E}">
  <ds:schemaRefs>
    <ds:schemaRef ds:uri="http://schemas.microsoft.com/sharepoint/v3/contenttype/forms"/>
  </ds:schemaRefs>
</ds:datastoreItem>
</file>

<file path=customXml/itemProps2.xml><?xml version="1.0" encoding="utf-8"?>
<ds:datastoreItem xmlns:ds="http://schemas.openxmlformats.org/officeDocument/2006/customXml" ds:itemID="{2C6B7E18-A853-43EF-9B16-7EA2246237C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27d643f5-4560-4eff-9f48-d0fe6b2bec2d"/>
  </ds:schemaRefs>
</ds:datastoreItem>
</file>

<file path=customXml/itemProps3.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Royal Society of Chemistry PDF Template</vt:lpstr>
    </vt:vector>
  </TitlesOfParts>
  <Company>Royal Society of Chemistry</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Naproxen workshop 1 - handout</dc:title>
  <dc:creator>Royal Society of Chemistry</dc:creator>
  <cp:lastModifiedBy>Robert Smith</cp:lastModifiedBy>
  <cp:revision>25</cp:revision>
  <dcterms:created xsi:type="dcterms:W3CDTF">2016-02-17T09:41:00Z</dcterms:created>
  <dcterms:modified xsi:type="dcterms:W3CDTF">2016-08-04T14:12:00Z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