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68B" w:rsidRPr="00343CBA" w:rsidRDefault="007A17E2" w:rsidP="000D3D40">
      <w:pPr>
        <w:pStyle w:val="Heading1"/>
      </w:pPr>
      <w:r>
        <w:t>Recycling the undesired enantiomer of naproxen</w:t>
      </w:r>
    </w:p>
    <w:p w:rsidR="007A17E2" w:rsidRDefault="002819EC" w:rsidP="007C1813">
      <w:pPr>
        <w:pStyle w:val="Leadparagraph"/>
        <w:rPr>
          <w:szCs w:val="24"/>
        </w:rPr>
      </w:pPr>
      <w:r>
        <w:t>A context/problem-based learning (C/PBL) resource</w:t>
      </w:r>
    </w:p>
    <w:p w:rsidR="004F2224" w:rsidRDefault="004F2224" w:rsidP="007C1813">
      <w:pPr>
        <w:pStyle w:val="Leadparagraph"/>
        <w:rPr>
          <w:szCs w:val="24"/>
        </w:rPr>
      </w:pPr>
    </w:p>
    <w:p w:rsidR="00D71A1A" w:rsidRDefault="007A17E2" w:rsidP="007C1813">
      <w:pPr>
        <w:pStyle w:val="Leadparagraph"/>
        <w:rPr>
          <w:szCs w:val="24"/>
        </w:rPr>
      </w:pPr>
      <w:r>
        <w:rPr>
          <w:szCs w:val="24"/>
        </w:rPr>
        <w:t xml:space="preserve">Workshop </w:t>
      </w:r>
      <w:r w:rsidR="009E31B2">
        <w:rPr>
          <w:szCs w:val="24"/>
        </w:rPr>
        <w:t>2</w:t>
      </w:r>
      <w:r>
        <w:rPr>
          <w:szCs w:val="24"/>
        </w:rPr>
        <w:t xml:space="preserve"> – </w:t>
      </w:r>
      <w:proofErr w:type="spellStart"/>
      <w:r w:rsidR="009E31B2">
        <w:rPr>
          <w:szCs w:val="24"/>
        </w:rPr>
        <w:t>Handout</w:t>
      </w:r>
      <w:proofErr w:type="spellEnd"/>
    </w:p>
    <w:p w:rsidR="007A17E2" w:rsidRPr="007A17E2" w:rsidRDefault="007A17E2" w:rsidP="007A17E2"/>
    <w:p w:rsidR="00232BDF" w:rsidRDefault="008D1A75" w:rsidP="000D3D40">
      <w:proofErr w:type="spellStart"/>
      <w:r>
        <w:t>Nimesh</w:t>
      </w:r>
      <w:proofErr w:type="spellEnd"/>
      <w:r>
        <w:t xml:space="preserve"> </w:t>
      </w:r>
      <w:proofErr w:type="spellStart"/>
      <w:r>
        <w:t>Mistry</w:t>
      </w:r>
      <w:proofErr w:type="spellEnd"/>
      <w:r>
        <w:t xml:space="preserve">, Sarah </w:t>
      </w:r>
      <w:proofErr w:type="spellStart"/>
      <w:r>
        <w:t>Naramore</w:t>
      </w:r>
      <w:proofErr w:type="spellEnd"/>
      <w:r>
        <w:t xml:space="preserve"> and George Burslem</w:t>
      </w:r>
      <w:bookmarkStart w:id="0" w:name="_GoBack"/>
      <w:bookmarkEnd w:id="0"/>
      <w:r w:rsidR="007A17E2">
        <w:br/>
        <w:t>University of Leeds</w:t>
      </w:r>
    </w:p>
    <w:p w:rsidR="007A17E2" w:rsidRDefault="007A17E2" w:rsidP="000D3D40"/>
    <w:p w:rsidR="007A17E2" w:rsidRPr="000D3D40" w:rsidRDefault="007A17E2" w:rsidP="000D3D40">
      <w:r>
        <w:t>Produced for the Royal Society of Chemistry</w:t>
      </w:r>
    </w:p>
    <w:p w:rsidR="007A17E2" w:rsidRDefault="007A17E2">
      <w:pPr>
        <w:keepLines w:val="0"/>
        <w:spacing w:before="200" w:after="0"/>
        <w:rPr>
          <w:b/>
          <w:color w:val="2C4D67"/>
          <w:sz w:val="30"/>
          <w:szCs w:val="26"/>
        </w:rPr>
      </w:pPr>
      <w:r>
        <w:br w:type="page"/>
      </w:r>
    </w:p>
    <w:p w:rsidR="0075451A" w:rsidRPr="008B3961" w:rsidRDefault="009E31B2" w:rsidP="008B3961">
      <w:pPr>
        <w:pStyle w:val="Heading2"/>
      </w:pPr>
      <w:r>
        <w:lastRenderedPageBreak/>
        <w:t>Part 1 – Minimisation of hazards</w:t>
      </w:r>
    </w:p>
    <w:p w:rsidR="0075451A" w:rsidRDefault="009E31B2" w:rsidP="000D3D40">
      <w:r w:rsidRPr="009E31B2">
        <w:t>One of the experiments carried out in second year involves synthesis of ethyl 2-ethanoylhexanoate. The syn</w:t>
      </w:r>
      <w:r>
        <w:t>thetic procedure is given below.</w:t>
      </w:r>
    </w:p>
    <w:p w:rsidR="009E31B2" w:rsidRPr="00515A5A" w:rsidRDefault="009E31B2" w:rsidP="000D3D40"/>
    <w:p w:rsidR="0075451A" w:rsidRDefault="009E31B2" w:rsidP="005065D4">
      <w:pPr>
        <w:pStyle w:val="Heading3"/>
      </w:pPr>
      <w:r>
        <w:t>Formation of ethyl 2-ethanoylhexanoate</w:t>
      </w:r>
    </w:p>
    <w:p w:rsidR="009E31B2" w:rsidRPr="009E31B2" w:rsidRDefault="009E31B2" w:rsidP="009E31B2"/>
    <w:p w:rsidR="009E31B2" w:rsidRPr="009E31B2" w:rsidRDefault="00363D4E" w:rsidP="009E31B2">
      <w:r>
        <w:rPr>
          <w:noProof/>
          <w:lang w:eastAsia="en-GB"/>
        </w:rPr>
        <mc:AlternateContent>
          <mc:Choice Requires="wps">
            <w:drawing>
              <wp:anchor distT="0" distB="0" distL="114300" distR="114300" simplePos="0" relativeHeight="251660288" behindDoc="0" locked="0" layoutInCell="1" allowOverlap="1" wp14:anchorId="59C6FECA" wp14:editId="422983DE">
                <wp:simplePos x="0" y="0"/>
                <wp:positionH relativeFrom="column">
                  <wp:posOffset>0</wp:posOffset>
                </wp:positionH>
                <wp:positionV relativeFrom="paragraph">
                  <wp:posOffset>5647690</wp:posOffset>
                </wp:positionV>
                <wp:extent cx="2621280" cy="63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621280" cy="635"/>
                        </a:xfrm>
                        <a:prstGeom prst="rect">
                          <a:avLst/>
                        </a:prstGeom>
                        <a:solidFill>
                          <a:prstClr val="white"/>
                        </a:solidFill>
                        <a:ln>
                          <a:noFill/>
                        </a:ln>
                        <a:effectLst/>
                      </wps:spPr>
                      <wps:txbx>
                        <w:txbxContent>
                          <w:p w:rsidR="00363D4E" w:rsidRPr="001411B3" w:rsidRDefault="00363D4E" w:rsidP="00363D4E">
                            <w:pPr>
                              <w:pStyle w:val="Caption"/>
                              <w:rPr>
                                <w:noProof/>
                                <w:sz w:val="24"/>
                                <w:szCs w:val="20"/>
                              </w:rPr>
                            </w:pPr>
                            <w:r>
                              <w:t xml:space="preserve">Figure </w:t>
                            </w:r>
                            <w:r w:rsidR="008D1A75">
                              <w:fldChar w:fldCharType="begin"/>
                            </w:r>
                            <w:r w:rsidR="008D1A75">
                              <w:instrText xml:space="preserve"> SEQ Figure \* ARABIC </w:instrText>
                            </w:r>
                            <w:r w:rsidR="008D1A75">
                              <w:fldChar w:fldCharType="separate"/>
                            </w:r>
                            <w:r>
                              <w:rPr>
                                <w:noProof/>
                              </w:rPr>
                              <w:t>1</w:t>
                            </w:r>
                            <w:r w:rsidR="008D1A75">
                              <w:rPr>
                                <w:noProof/>
                              </w:rPr>
                              <w:fldChar w:fldCharType="end"/>
                            </w:r>
                            <w:r>
                              <w:t>: Apparatus setup</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44.7pt;width:206.4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" stroked="f">
                <v:textbox style="mso-fit-shape-to-text:t" inset="0,0,0,0">
                  <w:txbxContent>
                    <w:p w:rsidR="00363D4E" w:rsidRPr="001411B3" w:rsidRDefault="00363D4E" w:rsidP="00363D4E">
                      <w:pPr>
                        <w:pStyle w:val="Caption"/>
                        <w:rPr>
                          <w:noProof/>
                          <w:sz w:val="24"/>
                          <w:szCs w:val="20"/>
                        </w:rPr>
                      </w:pPr>
                      <w:r>
                        <w:t xml:space="preserve">Figure </w:t>
                      </w:r>
                      <w:fldSimple w:instr=" SEQ Figure \* ARABIC ">
                        <w:r>
                          <w:rPr>
                            <w:noProof/>
                          </w:rPr>
                          <w:t>1</w:t>
                        </w:r>
                      </w:fldSimple>
                      <w:r>
                        <w:t>: Apparatus setup</w:t>
                      </w:r>
                    </w:p>
                  </w:txbxContent>
                </v:textbox>
                <w10:wrap type="square"/>
              </v:shape>
            </w:pict>
          </mc:Fallback>
        </mc:AlternateContent>
      </w:r>
      <w:r w:rsidR="009E31B2">
        <w:rPr>
          <w:noProof/>
          <w:lang w:eastAsia="en-GB"/>
        </w:rPr>
        <w:drawing>
          <wp:anchor distT="0" distB="0" distL="114300" distR="114300" simplePos="0" relativeHeight="251658240" behindDoc="0" locked="0" layoutInCell="1" allowOverlap="1" wp14:anchorId="338F0031" wp14:editId="10072F05">
            <wp:simplePos x="0" y="0"/>
            <wp:positionH relativeFrom="column">
              <wp:align>left</wp:align>
            </wp:positionH>
            <wp:positionV relativeFrom="paragraph">
              <wp:align>top</wp:align>
            </wp:positionV>
            <wp:extent cx="2621280" cy="5590540"/>
            <wp:effectExtent l="0" t="0" r="7620" b="0"/>
            <wp:wrapSquare wrapText="bothSides"/>
            <wp:docPr id="1" name="Picture 1" title="Reaction setup for ethyl-2-ethanoylhexanoate 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1280" cy="5590540"/>
                    </a:xfrm>
                    <a:prstGeom prst="rect">
                      <a:avLst/>
                    </a:prstGeom>
                    <a:noFill/>
                  </pic:spPr>
                </pic:pic>
              </a:graphicData>
            </a:graphic>
          </wp:anchor>
        </w:drawing>
      </w:r>
      <w:r w:rsidR="009E31B2" w:rsidRPr="009E31B2">
        <w:rPr>
          <w:szCs w:val="24"/>
        </w:rPr>
        <w:t xml:space="preserve"> </w:t>
      </w:r>
      <w:r w:rsidR="009E31B2" w:rsidRPr="009E31B2">
        <w:t xml:space="preserve">A 250 mL three-necked round bottom flask </w:t>
      </w:r>
      <w:proofErr w:type="gramStart"/>
      <w:r w:rsidR="009E31B2" w:rsidRPr="009E31B2">
        <w:t>is</w:t>
      </w:r>
      <w:proofErr w:type="gramEnd"/>
      <w:r w:rsidR="009E31B2" w:rsidRPr="009E31B2">
        <w:t xml:space="preserve"> set up as shown with a dropping funnel, condenser, thermometer, stopper and nitrogen inlet and the apparatus flushed with nitrogen. </w:t>
      </w:r>
    </w:p>
    <w:p w:rsidR="009E31B2" w:rsidRPr="009E31B2" w:rsidRDefault="009E31B2" w:rsidP="009E31B2">
      <w:r w:rsidRPr="009E31B2">
        <w:t>Sodium hydride (50% dispersion in mineral oil, 4.8 g) is added to dry DMF (50 mL) in the flask and the mixture stirred under nitrogen. Ethyl acetoacetate (12.7 mL, 10.0 g) is added drop</w:t>
      </w:r>
      <w:r w:rsidR="006C70A7">
        <w:t>-</w:t>
      </w:r>
      <w:r w:rsidRPr="009E31B2">
        <w:t xml:space="preserve">wise at a rate such that the internal temperature does not exceed 40 °C. </w:t>
      </w:r>
    </w:p>
    <w:p w:rsidR="009E31B2" w:rsidRPr="009E31B2" w:rsidRDefault="009E31B2" w:rsidP="009E31B2">
      <w:r w:rsidRPr="009E31B2">
        <w:t xml:space="preserve">After formation of the sodium derivative of ethyl acetoacetate is complete, as evidenced by the disappearance of the sodium hydride or the cessation of hydrogen evolution, 1-bromobutane (12.9 mL, 16.9 g) is added in portions. </w:t>
      </w:r>
    </w:p>
    <w:p w:rsidR="009E31B2" w:rsidRDefault="009E31B2" w:rsidP="009E31B2">
      <w:r w:rsidRPr="009E31B2">
        <w:t>Approximately 25% of the 1-bromobutane is added in one potion and if no exothermic reaction is detected, the flask is warmed to 50 °C. The remaining 1-bromobutane is then added drop</w:t>
      </w:r>
      <w:r w:rsidR="006C70A7">
        <w:t>-</w:t>
      </w:r>
      <w:r w:rsidRPr="009E31B2">
        <w:t>wise at a rate such that the temperature is maintained at 50 °C. The reaction is then completed by further heating. The nitrogen atmosphere and stirring are maintained throughout the heating period.</w:t>
      </w:r>
    </w:p>
    <w:p w:rsidR="009E31B2" w:rsidRDefault="009E31B2" w:rsidP="009E31B2">
      <w:r>
        <w:t>The reaction is heated for 3 hours and then heating continued until the reaction is neutral to litmus paper.</w:t>
      </w:r>
    </w:p>
    <w:p w:rsidR="009E31B2" w:rsidRDefault="009E31B2" w:rsidP="009E31B2">
      <w:r>
        <w:t>The reaction mixture is poured into water (500 mL) and the aqueous mixture extracted with DCM (3 x 50 mL). The DCM extracts are combined and washed with water (3 x 100 mL) and dried (MgSO4). The DCM is evaporated and the residual liquid purified by distillation.</w:t>
      </w:r>
    </w:p>
    <w:p w:rsidR="009E31B2" w:rsidRPr="00254D70" w:rsidRDefault="009E31B2" w:rsidP="009E31B2">
      <w:pPr>
        <w:rPr>
          <w:szCs w:val="24"/>
        </w:rPr>
      </w:pPr>
      <w:r w:rsidRPr="00254D70">
        <w:rPr>
          <w:szCs w:val="24"/>
        </w:rPr>
        <w:lastRenderedPageBreak/>
        <w:t xml:space="preserve">This reaction cannot be carried out in a plant as it is. Some parts of it just need to be adapted while others should be changed if at all possible. </w:t>
      </w:r>
    </w:p>
    <w:p w:rsidR="009E31B2" w:rsidRPr="009E31B2" w:rsidRDefault="009E31B2" w:rsidP="009E31B2">
      <w:pPr>
        <w:pStyle w:val="Bullets"/>
      </w:pPr>
      <w:r w:rsidRPr="009E31B2">
        <w:t>If you were a process chemist tasked with developing this reaction to use in a pilot plant why would you investigate alternatives to DMF, DCM and sodium hydride?</w:t>
      </w:r>
    </w:p>
    <w:p w:rsidR="009E31B2" w:rsidRDefault="009E31B2" w:rsidP="009E31B2">
      <w:pPr>
        <w:pStyle w:val="Bullets"/>
      </w:pPr>
      <w:r w:rsidRPr="00254D70">
        <w:t>Which aspects of the reaction would you need to understand in more detail if you wanted to run it safely on a large scale?</w:t>
      </w:r>
    </w:p>
    <w:p w:rsidR="00861DD3" w:rsidRDefault="00861DD3" w:rsidP="00861DD3"/>
    <w:p w:rsidR="009E31B2" w:rsidRDefault="00861DD3" w:rsidP="00861DD3">
      <w:pPr>
        <w:pStyle w:val="Heading2"/>
      </w:pPr>
      <w:r>
        <w:t>Part 2 – project planning</w:t>
      </w:r>
    </w:p>
    <w:p w:rsidR="00861DD3" w:rsidRDefault="00861DD3" w:rsidP="00861DD3">
      <w:r>
        <w:t>In your groups discuss which reactions you will carry out and which variables you would like to investigate for each step make a detailed plan of how you would like the lab work to proceed.</w:t>
      </w:r>
    </w:p>
    <w:p w:rsidR="00861DD3" w:rsidRDefault="00861DD3" w:rsidP="00861DD3">
      <w:r>
        <w:t>You should write down.</w:t>
      </w:r>
    </w:p>
    <w:p w:rsidR="00861DD3" w:rsidRDefault="00861DD3" w:rsidP="00861DD3">
      <w:pPr>
        <w:pStyle w:val="Bullets"/>
      </w:pPr>
      <w:r>
        <w:t>Who will focus on each step</w:t>
      </w:r>
    </w:p>
    <w:p w:rsidR="00861DD3" w:rsidRDefault="00861DD3" w:rsidP="00861DD3">
      <w:pPr>
        <w:pStyle w:val="Bullets"/>
      </w:pPr>
      <w:r>
        <w:t>Which reactions depend on having some material from other reactions</w:t>
      </w:r>
    </w:p>
    <w:p w:rsidR="00861DD3" w:rsidRDefault="00861DD3" w:rsidP="00861DD3">
      <w:pPr>
        <w:pStyle w:val="Bullets"/>
      </w:pPr>
      <w:r>
        <w:t>How to ensure that people investigating reaction conditions have enough of the starting material they need</w:t>
      </w:r>
    </w:p>
    <w:p w:rsidR="00861DD3" w:rsidRDefault="00861DD3" w:rsidP="00861DD3">
      <w:pPr>
        <w:pStyle w:val="Bullets"/>
      </w:pPr>
      <w:r>
        <w:t>How will you divide up tasks like analysis and planning</w:t>
      </w:r>
    </w:p>
    <w:p w:rsidR="00861DD3" w:rsidRDefault="00861DD3" w:rsidP="00861DD3">
      <w:pPr>
        <w:pStyle w:val="Bullets"/>
      </w:pPr>
      <w:r>
        <w:t>How often will you share results and discuss progress</w:t>
      </w:r>
    </w:p>
    <w:p w:rsidR="00861DD3" w:rsidRDefault="00861DD3" w:rsidP="00861DD3">
      <w:pPr>
        <w:pStyle w:val="Bullets"/>
      </w:pPr>
      <w:r>
        <w:t>Which variables do you want to investigate first for the two steps that need optimisation</w:t>
      </w:r>
    </w:p>
    <w:p w:rsidR="009E31B2" w:rsidRPr="00D14748" w:rsidRDefault="00861DD3" w:rsidP="00D14748">
      <w:pPr>
        <w:pStyle w:val="Bullets"/>
      </w:pPr>
      <w:r>
        <w:t>How will you analyse your reactions efficiently so that you can quickly dec</w:t>
      </w:r>
      <w:r w:rsidR="00D14748">
        <w:t>ide what conditions to try next</w:t>
      </w:r>
    </w:p>
    <w:sectPr w:rsidR="009E31B2" w:rsidRPr="00D14748" w:rsidSect="00E331A7">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1B2" w:rsidRDefault="009E31B2" w:rsidP="000D3D40">
      <w:r>
        <w:separator/>
      </w:r>
    </w:p>
  </w:endnote>
  <w:endnote w:type="continuationSeparator" w:id="0">
    <w:p w:rsidR="009E31B2" w:rsidRDefault="009E31B2"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9AA" w:rsidRDefault="00CE59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1B2" w:rsidRPr="004B50B8" w:rsidRDefault="009E31B2" w:rsidP="004B50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1B2" w:rsidRPr="004B50B8" w:rsidRDefault="004B50B8" w:rsidP="004B50B8">
    <w:pPr>
      <w:pStyle w:val="Footer"/>
    </w:pPr>
    <w:r>
      <w:t>This resource “</w:t>
    </w:r>
    <w:r>
      <w:rPr>
        <w:i/>
      </w:rPr>
      <w:t>new name</w:t>
    </w:r>
    <w:r>
      <w:t xml:space="preserve">”, is a derivative of “Naproxen workshop 2 - </w:t>
    </w:r>
    <w:proofErr w:type="spellStart"/>
    <w:r>
      <w:t>handout</w:t>
    </w:r>
    <w:proofErr w:type="spellEnd"/>
    <w:r>
      <w:t>” by The Royal Society of Chemistry used under CC-BY-NC-SA 4.0. “</w:t>
    </w:r>
    <w:proofErr w:type="gramStart"/>
    <w:r>
      <w:rPr>
        <w:i/>
      </w:rPr>
      <w:t>new</w:t>
    </w:r>
    <w:proofErr w:type="gramEnd"/>
    <w:r>
      <w:rPr>
        <w:i/>
      </w:rPr>
      <w:t xml:space="preserve"> name</w:t>
    </w:r>
    <w:r>
      <w:t>” is licensed under CC-BY-NC-SA 4.0 by “</w:t>
    </w:r>
    <w:r>
      <w:rPr>
        <w:i/>
      </w:rPr>
      <w:t>name of user</w:t>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1B2" w:rsidRDefault="009E31B2" w:rsidP="000D3D40">
      <w:r>
        <w:separator/>
      </w:r>
    </w:p>
  </w:footnote>
  <w:footnote w:type="continuationSeparator" w:id="0">
    <w:p w:rsidR="009E31B2" w:rsidRDefault="009E31B2" w:rsidP="000D3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9AA" w:rsidRDefault="00CE59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9AA" w:rsidRDefault="00CE59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1B2" w:rsidRDefault="009E31B2" w:rsidP="000D3D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6BD76363"/>
    <w:multiLevelType w:val="hybridMultilevel"/>
    <w:tmpl w:val="A698BDD2"/>
    <w:lvl w:ilvl="0" w:tplc="386E1EC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83B"/>
    <w:rsid w:val="00012664"/>
    <w:rsid w:val="00023342"/>
    <w:rsid w:val="000355C3"/>
    <w:rsid w:val="000709BF"/>
    <w:rsid w:val="000D3D40"/>
    <w:rsid w:val="000D440E"/>
    <w:rsid w:val="0010603F"/>
    <w:rsid w:val="00112D04"/>
    <w:rsid w:val="001167A2"/>
    <w:rsid w:val="00165309"/>
    <w:rsid w:val="00170457"/>
    <w:rsid w:val="0018383B"/>
    <w:rsid w:val="00193880"/>
    <w:rsid w:val="001B7EB7"/>
    <w:rsid w:val="001D1E2A"/>
    <w:rsid w:val="001D7818"/>
    <w:rsid w:val="001E0F30"/>
    <w:rsid w:val="001F2D6F"/>
    <w:rsid w:val="001F589D"/>
    <w:rsid w:val="00200C3D"/>
    <w:rsid w:val="00210131"/>
    <w:rsid w:val="002117FF"/>
    <w:rsid w:val="00232BDF"/>
    <w:rsid w:val="00234054"/>
    <w:rsid w:val="00274F1A"/>
    <w:rsid w:val="0028034B"/>
    <w:rsid w:val="00281035"/>
    <w:rsid w:val="002819EC"/>
    <w:rsid w:val="00287576"/>
    <w:rsid w:val="00291C4D"/>
    <w:rsid w:val="00292178"/>
    <w:rsid w:val="002A3815"/>
    <w:rsid w:val="002C0301"/>
    <w:rsid w:val="002C4A08"/>
    <w:rsid w:val="002F0461"/>
    <w:rsid w:val="003019B6"/>
    <w:rsid w:val="003260A5"/>
    <w:rsid w:val="00334EAD"/>
    <w:rsid w:val="00343CBA"/>
    <w:rsid w:val="00361A0D"/>
    <w:rsid w:val="00363D4E"/>
    <w:rsid w:val="003B3451"/>
    <w:rsid w:val="003C026F"/>
    <w:rsid w:val="003D3F02"/>
    <w:rsid w:val="003D54D0"/>
    <w:rsid w:val="003D6B89"/>
    <w:rsid w:val="003E2810"/>
    <w:rsid w:val="003F24EB"/>
    <w:rsid w:val="003F631F"/>
    <w:rsid w:val="003F79F1"/>
    <w:rsid w:val="00400C63"/>
    <w:rsid w:val="00413366"/>
    <w:rsid w:val="00424F9A"/>
    <w:rsid w:val="00427B37"/>
    <w:rsid w:val="00460F13"/>
    <w:rsid w:val="004634FA"/>
    <w:rsid w:val="004723CA"/>
    <w:rsid w:val="00490BB0"/>
    <w:rsid w:val="00496E2E"/>
    <w:rsid w:val="004A2D91"/>
    <w:rsid w:val="004A32F0"/>
    <w:rsid w:val="004B204F"/>
    <w:rsid w:val="004B2F65"/>
    <w:rsid w:val="004B50B8"/>
    <w:rsid w:val="004F2224"/>
    <w:rsid w:val="005065D4"/>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7206C"/>
    <w:rsid w:val="006758AB"/>
    <w:rsid w:val="006B42FF"/>
    <w:rsid w:val="006C70A7"/>
    <w:rsid w:val="006D3E26"/>
    <w:rsid w:val="006F6F73"/>
    <w:rsid w:val="00707FDD"/>
    <w:rsid w:val="00714A35"/>
    <w:rsid w:val="00723F23"/>
    <w:rsid w:val="007358E3"/>
    <w:rsid w:val="0075451A"/>
    <w:rsid w:val="00755C7E"/>
    <w:rsid w:val="00784400"/>
    <w:rsid w:val="007A17E2"/>
    <w:rsid w:val="007C1813"/>
    <w:rsid w:val="0081005F"/>
    <w:rsid w:val="008342DB"/>
    <w:rsid w:val="00836F07"/>
    <w:rsid w:val="00853A62"/>
    <w:rsid w:val="00854D32"/>
    <w:rsid w:val="00857888"/>
    <w:rsid w:val="00861DD3"/>
    <w:rsid w:val="00870502"/>
    <w:rsid w:val="00873C13"/>
    <w:rsid w:val="00881418"/>
    <w:rsid w:val="00885B52"/>
    <w:rsid w:val="008A3B63"/>
    <w:rsid w:val="008A6AD0"/>
    <w:rsid w:val="008B3961"/>
    <w:rsid w:val="008C2782"/>
    <w:rsid w:val="008D1A75"/>
    <w:rsid w:val="008E2859"/>
    <w:rsid w:val="0090405B"/>
    <w:rsid w:val="00915C84"/>
    <w:rsid w:val="00923E53"/>
    <w:rsid w:val="009321C9"/>
    <w:rsid w:val="00972310"/>
    <w:rsid w:val="00982F78"/>
    <w:rsid w:val="00987FC3"/>
    <w:rsid w:val="009C5777"/>
    <w:rsid w:val="009D4E77"/>
    <w:rsid w:val="009D63E6"/>
    <w:rsid w:val="009E31B2"/>
    <w:rsid w:val="009F0DFC"/>
    <w:rsid w:val="009F3445"/>
    <w:rsid w:val="00A04A6D"/>
    <w:rsid w:val="00A50EEB"/>
    <w:rsid w:val="00A52886"/>
    <w:rsid w:val="00A75F4C"/>
    <w:rsid w:val="00A9584B"/>
    <w:rsid w:val="00AB1738"/>
    <w:rsid w:val="00AF3542"/>
    <w:rsid w:val="00AF776F"/>
    <w:rsid w:val="00B20041"/>
    <w:rsid w:val="00BA512C"/>
    <w:rsid w:val="00BB1F22"/>
    <w:rsid w:val="00C17DDC"/>
    <w:rsid w:val="00C3053B"/>
    <w:rsid w:val="00CD10BF"/>
    <w:rsid w:val="00CE59AA"/>
    <w:rsid w:val="00D14748"/>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7850"/>
    <w:rsid w:val="00E47D2B"/>
    <w:rsid w:val="00E5491A"/>
    <w:rsid w:val="00E61773"/>
    <w:rsid w:val="00E86125"/>
    <w:rsid w:val="00EA0301"/>
    <w:rsid w:val="00EC0B8E"/>
    <w:rsid w:val="00ED609E"/>
    <w:rsid w:val="00EF1342"/>
    <w:rsid w:val="00F05BEA"/>
    <w:rsid w:val="00F274AA"/>
    <w:rsid w:val="00F32AE0"/>
    <w:rsid w:val="00F33F60"/>
    <w:rsid w:val="00F47056"/>
    <w:rsid w:val="00F60031"/>
    <w:rsid w:val="00F76CF5"/>
    <w:rsid w:val="00F91DF0"/>
    <w:rsid w:val="00FA248D"/>
    <w:rsid w:val="00FA7F39"/>
    <w:rsid w:val="00FB66F1"/>
    <w:rsid w:val="00FB6E6B"/>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42FF"/>
    <w:pPr>
      <w:keepLines/>
      <w:spacing w:before="0" w:after="240"/>
    </w:pPr>
    <w:rPr>
      <w:rFonts w:ascii="Arial" w:hAnsi="Arial" w:cs="Arial"/>
      <w:sz w:val="24"/>
      <w:szCs w:val="20"/>
    </w:rPr>
  </w:style>
  <w:style w:type="paragraph" w:styleId="Heading1">
    <w:name w:val="heading 1"/>
    <w:basedOn w:val="Normal"/>
    <w:next w:val="Leadparagraph"/>
    <w:link w:val="Heading1Char"/>
    <w:uiPriority w:val="9"/>
    <w:qFormat/>
    <w:rsid w:val="00A04A6D"/>
    <w:pPr>
      <w:keepNext/>
      <w:contextualSpacing/>
      <w:outlineLvl w:val="0"/>
    </w:pPr>
    <w:rPr>
      <w:rFonts w:eastAsiaTheme="majorEastAsia" w:cstheme="majorBidi"/>
      <w:b/>
      <w:bCs/>
      <w:color w:val="2C4D67"/>
      <w:sz w:val="34"/>
      <w:szCs w:val="30"/>
    </w:rPr>
  </w:style>
  <w:style w:type="paragraph" w:styleId="Heading2">
    <w:name w:val="heading 2"/>
    <w:basedOn w:val="Normal"/>
    <w:next w:val="Normal"/>
    <w:link w:val="Heading2Char"/>
    <w:uiPriority w:val="9"/>
    <w:unhideWhenUsed/>
    <w:qFormat/>
    <w:rsid w:val="00A04A6D"/>
    <w:pPr>
      <w:keepNext/>
      <w:spacing w:before="360" w:after="0"/>
      <w:outlineLvl w:val="1"/>
    </w:pPr>
    <w:rPr>
      <w:b/>
      <w:color w:val="2C4D67"/>
      <w:sz w:val="30"/>
      <w:szCs w:val="26"/>
    </w:rPr>
  </w:style>
  <w:style w:type="paragraph" w:styleId="Heading3">
    <w:name w:val="heading 3"/>
    <w:basedOn w:val="Normal"/>
    <w:next w:val="Normal"/>
    <w:link w:val="Heading3Char"/>
    <w:uiPriority w:val="9"/>
    <w:unhideWhenUsed/>
    <w:qFormat/>
    <w:rsid w:val="00A04A6D"/>
    <w:pPr>
      <w:keepNext/>
      <w:spacing w:before="240" w:after="0"/>
      <w:outlineLvl w:val="2"/>
    </w:pPr>
    <w:rPr>
      <w:rFonts w:eastAsiaTheme="majorEastAsia"/>
      <w:b/>
      <w:bCs/>
      <w:color w:val="2C4D67"/>
      <w:sz w:val="26"/>
      <w:szCs w:val="22"/>
    </w:rPr>
  </w:style>
  <w:style w:type="paragraph" w:styleId="Heading4">
    <w:name w:val="heading 4"/>
    <w:basedOn w:val="Normal"/>
    <w:next w:val="Normal"/>
    <w:link w:val="Heading4Char"/>
    <w:uiPriority w:val="9"/>
    <w:unhideWhenUsed/>
    <w:qFormat/>
    <w:rsid w:val="00A04A6D"/>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A04A6D"/>
    <w:rPr>
      <w:rFonts w:ascii="Arial" w:eastAsiaTheme="majorEastAsia" w:hAnsi="Arial" w:cs="Arial"/>
      <w:b/>
      <w:bCs/>
      <w:color w:val="2C4D67"/>
      <w:sz w:val="26"/>
    </w:rPr>
  </w:style>
  <w:style w:type="character" w:customStyle="1" w:styleId="Heading4Char">
    <w:name w:val="Heading 4 Char"/>
    <w:basedOn w:val="DefaultParagraphFont"/>
    <w:link w:val="Heading4"/>
    <w:uiPriority w:val="9"/>
    <w:rsid w:val="00A04A6D"/>
    <w:rPr>
      <w:rFonts w:ascii="Arial" w:eastAsiaTheme="majorEastAsia" w:hAnsi="Arial" w:cstheme="majorBidi"/>
      <w:b/>
      <w:bCs/>
      <w:iCs/>
      <w:color w:val="404040" w:themeColor="text1" w:themeTint="BF"/>
      <w:sz w:val="24"/>
      <w:szCs w:val="20"/>
    </w:rPr>
  </w:style>
  <w:style w:type="character" w:customStyle="1" w:styleId="Heading1Char">
    <w:name w:val="Heading 1 Char"/>
    <w:basedOn w:val="DefaultParagraphFont"/>
    <w:link w:val="Heading1"/>
    <w:uiPriority w:val="9"/>
    <w:rsid w:val="00A04A6D"/>
    <w:rPr>
      <w:rFonts w:ascii="Arial" w:eastAsiaTheme="majorEastAsia" w:hAnsi="Arial" w:cstheme="majorBidi"/>
      <w:b/>
      <w:bCs/>
      <w:color w:val="2C4D67"/>
      <w:sz w:val="34"/>
      <w:szCs w:val="30"/>
    </w:rPr>
  </w:style>
  <w:style w:type="character" w:customStyle="1" w:styleId="Heading2Char">
    <w:name w:val="Heading 2 Char"/>
    <w:basedOn w:val="DefaultParagraphFont"/>
    <w:link w:val="Heading2"/>
    <w:uiPriority w:val="9"/>
    <w:rsid w:val="00A04A6D"/>
    <w:rPr>
      <w:rFonts w:ascii="Arial" w:hAnsi="Arial" w:cs="Arial"/>
      <w:b/>
      <w:color w:val="2C4D67"/>
      <w:sz w:val="30"/>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paragraph" w:styleId="Caption">
    <w:name w:val="caption"/>
    <w:basedOn w:val="Normal"/>
    <w:next w:val="Normal"/>
    <w:uiPriority w:val="35"/>
    <w:unhideWhenUsed/>
    <w:qFormat/>
    <w:rsid w:val="00363D4E"/>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42FF"/>
    <w:pPr>
      <w:keepLines/>
      <w:spacing w:before="0" w:after="240"/>
    </w:pPr>
    <w:rPr>
      <w:rFonts w:ascii="Arial" w:hAnsi="Arial" w:cs="Arial"/>
      <w:sz w:val="24"/>
      <w:szCs w:val="20"/>
    </w:rPr>
  </w:style>
  <w:style w:type="paragraph" w:styleId="Heading1">
    <w:name w:val="heading 1"/>
    <w:basedOn w:val="Normal"/>
    <w:next w:val="Leadparagraph"/>
    <w:link w:val="Heading1Char"/>
    <w:uiPriority w:val="9"/>
    <w:qFormat/>
    <w:rsid w:val="00A04A6D"/>
    <w:pPr>
      <w:keepNext/>
      <w:contextualSpacing/>
      <w:outlineLvl w:val="0"/>
    </w:pPr>
    <w:rPr>
      <w:rFonts w:eastAsiaTheme="majorEastAsia" w:cstheme="majorBidi"/>
      <w:b/>
      <w:bCs/>
      <w:color w:val="2C4D67"/>
      <w:sz w:val="34"/>
      <w:szCs w:val="30"/>
    </w:rPr>
  </w:style>
  <w:style w:type="paragraph" w:styleId="Heading2">
    <w:name w:val="heading 2"/>
    <w:basedOn w:val="Normal"/>
    <w:next w:val="Normal"/>
    <w:link w:val="Heading2Char"/>
    <w:uiPriority w:val="9"/>
    <w:unhideWhenUsed/>
    <w:qFormat/>
    <w:rsid w:val="00A04A6D"/>
    <w:pPr>
      <w:keepNext/>
      <w:spacing w:before="360" w:after="0"/>
      <w:outlineLvl w:val="1"/>
    </w:pPr>
    <w:rPr>
      <w:b/>
      <w:color w:val="2C4D67"/>
      <w:sz w:val="30"/>
      <w:szCs w:val="26"/>
    </w:rPr>
  </w:style>
  <w:style w:type="paragraph" w:styleId="Heading3">
    <w:name w:val="heading 3"/>
    <w:basedOn w:val="Normal"/>
    <w:next w:val="Normal"/>
    <w:link w:val="Heading3Char"/>
    <w:uiPriority w:val="9"/>
    <w:unhideWhenUsed/>
    <w:qFormat/>
    <w:rsid w:val="00A04A6D"/>
    <w:pPr>
      <w:keepNext/>
      <w:spacing w:before="240" w:after="0"/>
      <w:outlineLvl w:val="2"/>
    </w:pPr>
    <w:rPr>
      <w:rFonts w:eastAsiaTheme="majorEastAsia"/>
      <w:b/>
      <w:bCs/>
      <w:color w:val="2C4D67"/>
      <w:sz w:val="26"/>
      <w:szCs w:val="22"/>
    </w:rPr>
  </w:style>
  <w:style w:type="paragraph" w:styleId="Heading4">
    <w:name w:val="heading 4"/>
    <w:basedOn w:val="Normal"/>
    <w:next w:val="Normal"/>
    <w:link w:val="Heading4Char"/>
    <w:uiPriority w:val="9"/>
    <w:unhideWhenUsed/>
    <w:qFormat/>
    <w:rsid w:val="00A04A6D"/>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A04A6D"/>
    <w:rPr>
      <w:rFonts w:ascii="Arial" w:eastAsiaTheme="majorEastAsia" w:hAnsi="Arial" w:cs="Arial"/>
      <w:b/>
      <w:bCs/>
      <w:color w:val="2C4D67"/>
      <w:sz w:val="26"/>
    </w:rPr>
  </w:style>
  <w:style w:type="character" w:customStyle="1" w:styleId="Heading4Char">
    <w:name w:val="Heading 4 Char"/>
    <w:basedOn w:val="DefaultParagraphFont"/>
    <w:link w:val="Heading4"/>
    <w:uiPriority w:val="9"/>
    <w:rsid w:val="00A04A6D"/>
    <w:rPr>
      <w:rFonts w:ascii="Arial" w:eastAsiaTheme="majorEastAsia" w:hAnsi="Arial" w:cstheme="majorBidi"/>
      <w:b/>
      <w:bCs/>
      <w:iCs/>
      <w:color w:val="404040" w:themeColor="text1" w:themeTint="BF"/>
      <w:sz w:val="24"/>
      <w:szCs w:val="20"/>
    </w:rPr>
  </w:style>
  <w:style w:type="character" w:customStyle="1" w:styleId="Heading1Char">
    <w:name w:val="Heading 1 Char"/>
    <w:basedOn w:val="DefaultParagraphFont"/>
    <w:link w:val="Heading1"/>
    <w:uiPriority w:val="9"/>
    <w:rsid w:val="00A04A6D"/>
    <w:rPr>
      <w:rFonts w:ascii="Arial" w:eastAsiaTheme="majorEastAsia" w:hAnsi="Arial" w:cstheme="majorBidi"/>
      <w:b/>
      <w:bCs/>
      <w:color w:val="2C4D67"/>
      <w:sz w:val="34"/>
      <w:szCs w:val="30"/>
    </w:rPr>
  </w:style>
  <w:style w:type="character" w:customStyle="1" w:styleId="Heading2Char">
    <w:name w:val="Heading 2 Char"/>
    <w:basedOn w:val="DefaultParagraphFont"/>
    <w:link w:val="Heading2"/>
    <w:uiPriority w:val="9"/>
    <w:rsid w:val="00A04A6D"/>
    <w:rPr>
      <w:rFonts w:ascii="Arial" w:hAnsi="Arial" w:cs="Arial"/>
      <w:b/>
      <w:color w:val="2C4D67"/>
      <w:sz w:val="30"/>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paragraph" w:styleId="Caption">
    <w:name w:val="caption"/>
    <w:basedOn w:val="Normal"/>
    <w:next w:val="Normal"/>
    <w:uiPriority w:val="35"/>
    <w:unhideWhenUsed/>
    <w:qFormat/>
    <w:rsid w:val="00363D4E"/>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EFFBB5-4AFD-4647-8D0D-E71EDCFB0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C6B7E18-A853-43EF-9B16-7EA2246237C5}">
  <ds:schemaRefs>
    <ds:schemaRef ds:uri="27d643f5-4560-4eff-9f48-d0fe6b2bec2d"/>
    <ds:schemaRef ds:uri="http://purl.org/dc/elements/1.1/"/>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C074761-3B67-4A8D-9857-B9F8BC370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Naproxen workshop 2 - handout</vt:lpstr>
    </vt:vector>
  </TitlesOfParts>
  <Company>Royal Society of Chemistry</Company>
  <LinksUpToDate>false</LinksUpToDate>
  <CharactersWithSpaces>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Naproxen workshop 2 - handout</dc:title>
  <dc:creator>Royal Society of Chemistry</dc:creator>
  <cp:lastModifiedBy>Robert Smith</cp:lastModifiedBy>
  <cp:revision>15</cp:revision>
  <dcterms:created xsi:type="dcterms:W3CDTF">2016-02-17T11:22:00Z</dcterms:created>
  <dcterms:modified xsi:type="dcterms:W3CDTF">2016-08-04T14:13:00Z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