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1DDAF3BA" w:rsidR="0005693A" w:rsidRDefault="00084378" w:rsidP="0005693A">
      <w:pPr>
        <w:pStyle w:val="Heading1"/>
      </w:pPr>
      <w:bookmarkStart w:id="0" w:name="_Hlk22922848"/>
      <w:bookmarkStart w:id="1" w:name="_Hlk22759752"/>
      <w:r>
        <w:t xml:space="preserve">Frozen in time: </w:t>
      </w:r>
      <w:r w:rsidR="0015106E">
        <w:t>hands on evidence</w:t>
      </w:r>
      <w:r>
        <w:t xml:space="preserve"> </w:t>
      </w:r>
    </w:p>
    <w:bookmarkEnd w:id="0"/>
    <w:p w14:paraId="4FB10F87" w14:textId="02F698BA"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C353A8">
        <w:rPr>
          <w:rStyle w:val="LeadparagraphChar"/>
        </w:rPr>
        <w:t>November</w:t>
      </w:r>
      <w:r>
        <w:rPr>
          <w:rStyle w:val="LeadparagraphChar"/>
        </w:rPr>
        <w:t xml:space="preserve"> </w:t>
      </w:r>
      <w:r w:rsidR="00C353A8">
        <w:rPr>
          <w:rStyle w:val="LeadparagraphChar"/>
        </w:rPr>
        <w:t>2019</w:t>
      </w:r>
      <w:r>
        <w:rPr>
          <w:rStyle w:val="LeadparagraphChar"/>
        </w:rPr>
        <w:br/>
      </w:r>
      <w:hyperlink r:id="rId10" w:history="1">
        <w:r w:rsidR="00C353A8" w:rsidRPr="002178FE">
          <w:rPr>
            <w:rStyle w:val="Hyperlink"/>
          </w:rPr>
          <w:t>rsc.li/2WJHjUl</w:t>
        </w:r>
      </w:hyperlink>
    </w:p>
    <w:p w14:paraId="5D5609EC" w14:textId="2DE12372" w:rsidR="0005693A" w:rsidRDefault="00FD7E5B" w:rsidP="0005693A">
      <w:pPr>
        <w:pStyle w:val="Heading2"/>
      </w:pPr>
      <w:r>
        <w:t>Teacher/technician notes</w:t>
      </w:r>
    </w:p>
    <w:p w14:paraId="45AD5C25" w14:textId="76BE8468" w:rsidR="00FD7E5B" w:rsidRDefault="00FD7E5B" w:rsidP="0005693A">
      <w:r>
        <w:t>This activity requires ice cores to be prepared for the students to analyse. These take a few days to prepare as each layer needs to be added once the previous one is frozen.</w:t>
      </w:r>
      <w:r w:rsidR="004C70EA">
        <w:t xml:space="preserve"> </w:t>
      </w:r>
      <w:r w:rsidR="00C353A8">
        <w:t xml:space="preserve">Eight </w:t>
      </w:r>
      <w:r w:rsidR="004C70EA">
        <w:t xml:space="preserve">layers or so </w:t>
      </w:r>
      <w:r w:rsidR="00763909">
        <w:t>will provide</w:t>
      </w:r>
      <w:r w:rsidR="004C70EA">
        <w:t xml:space="preserve"> a good </w:t>
      </w:r>
      <w:r w:rsidR="00AC39A7">
        <w:t>quantity of data.</w:t>
      </w:r>
    </w:p>
    <w:p w14:paraId="25C51D45" w14:textId="22D4BB5B" w:rsidR="00D525FD" w:rsidRPr="00650EE8" w:rsidRDefault="00D525FD" w:rsidP="0005693A">
      <w:pPr>
        <w:rPr>
          <w:b/>
          <w:bCs/>
        </w:rPr>
      </w:pPr>
      <w:r w:rsidRPr="00650EE8">
        <w:rPr>
          <w:b/>
          <w:bCs/>
        </w:rPr>
        <w:t>Consumables</w:t>
      </w:r>
      <w:r w:rsidR="004C70EA">
        <w:rPr>
          <w:b/>
          <w:bCs/>
        </w:rPr>
        <w:t xml:space="preserve"> for preparation</w:t>
      </w:r>
    </w:p>
    <w:p w14:paraId="6A78C907" w14:textId="1E6F06E4" w:rsidR="00D525FD" w:rsidRDefault="00D525FD" w:rsidP="00650EE8">
      <w:pPr>
        <w:pStyle w:val="ListParagraph"/>
        <w:numPr>
          <w:ilvl w:val="0"/>
          <w:numId w:val="8"/>
        </w:numPr>
      </w:pPr>
      <w:r>
        <w:t>Tubes (those used to hold crisps are partic</w:t>
      </w:r>
      <w:r w:rsidR="00C353A8">
        <w:t>ularly suitable)</w:t>
      </w:r>
    </w:p>
    <w:p w14:paraId="142A1EFF" w14:textId="1F335AB5" w:rsidR="007063C0" w:rsidRDefault="00D525FD" w:rsidP="00650EE8">
      <w:pPr>
        <w:pStyle w:val="ListParagraph"/>
        <w:numPr>
          <w:ilvl w:val="0"/>
          <w:numId w:val="8"/>
        </w:numPr>
      </w:pPr>
      <w:r>
        <w:t>Water</w:t>
      </w:r>
      <w:r w:rsidR="007063C0">
        <w:t xml:space="preserve"> with blue food dye added</w:t>
      </w:r>
    </w:p>
    <w:p w14:paraId="44D96C57" w14:textId="09A0580B" w:rsidR="00D525FD" w:rsidRDefault="00D525FD" w:rsidP="00650EE8">
      <w:pPr>
        <w:pStyle w:val="ListParagraph"/>
        <w:numPr>
          <w:ilvl w:val="0"/>
          <w:numId w:val="8"/>
        </w:numPr>
      </w:pPr>
      <w:r>
        <w:t>Boiled water</w:t>
      </w:r>
    </w:p>
    <w:p w14:paraId="675E5C7C" w14:textId="1DDCE30F" w:rsidR="00D525FD" w:rsidRDefault="00D525FD" w:rsidP="00650EE8">
      <w:pPr>
        <w:pStyle w:val="ListParagraph"/>
        <w:numPr>
          <w:ilvl w:val="0"/>
          <w:numId w:val="8"/>
        </w:numPr>
      </w:pPr>
      <w:r>
        <w:t>Carbon powder</w:t>
      </w:r>
    </w:p>
    <w:p w14:paraId="3DFF8520" w14:textId="100C2FCD" w:rsidR="00D525FD" w:rsidRDefault="00D525FD" w:rsidP="00650EE8">
      <w:pPr>
        <w:pStyle w:val="ListParagraph"/>
        <w:numPr>
          <w:ilvl w:val="0"/>
          <w:numId w:val="8"/>
        </w:numPr>
      </w:pPr>
      <w:r>
        <w:t>Salt water</w:t>
      </w:r>
    </w:p>
    <w:p w14:paraId="3E92956D" w14:textId="56245186" w:rsidR="00650EE8" w:rsidRDefault="006141A9" w:rsidP="00650EE8">
      <w:pPr>
        <w:pStyle w:val="ListParagraph"/>
        <w:numPr>
          <w:ilvl w:val="0"/>
          <w:numId w:val="8"/>
        </w:numPr>
      </w:pPr>
      <w:r>
        <w:t>Finely c</w:t>
      </w:r>
      <w:r w:rsidR="00650EE8">
        <w:t>hopped grass</w:t>
      </w:r>
    </w:p>
    <w:p w14:paraId="4A5855C0" w14:textId="6F61F847" w:rsidR="004C70EA" w:rsidRPr="004C70EA" w:rsidRDefault="004C70EA" w:rsidP="004C70EA">
      <w:pPr>
        <w:rPr>
          <w:b/>
          <w:bCs/>
        </w:rPr>
      </w:pPr>
      <w:r w:rsidRPr="004C70EA">
        <w:rPr>
          <w:b/>
          <w:bCs/>
        </w:rPr>
        <w:t>Apparatus per group</w:t>
      </w:r>
    </w:p>
    <w:p w14:paraId="542D3882" w14:textId="745EAF39" w:rsidR="004C70EA" w:rsidRDefault="004C70EA" w:rsidP="00650EE8">
      <w:pPr>
        <w:pStyle w:val="ListParagraph"/>
        <w:numPr>
          <w:ilvl w:val="0"/>
          <w:numId w:val="8"/>
        </w:numPr>
      </w:pPr>
      <w:r>
        <w:t xml:space="preserve">Potato/apple corers </w:t>
      </w:r>
    </w:p>
    <w:p w14:paraId="12E095E3" w14:textId="38CFAF41" w:rsidR="004C70EA" w:rsidRDefault="004C70EA" w:rsidP="004C70EA">
      <w:pPr>
        <w:pStyle w:val="ListParagraph"/>
        <w:numPr>
          <w:ilvl w:val="0"/>
          <w:numId w:val="8"/>
        </w:numPr>
      </w:pPr>
      <w:r>
        <w:t xml:space="preserve">Rulers or </w:t>
      </w:r>
      <w:proofErr w:type="spellStart"/>
      <w:r>
        <w:t>calipers</w:t>
      </w:r>
      <w:proofErr w:type="spellEnd"/>
      <w:r>
        <w:t xml:space="preserve"> for measuring depth</w:t>
      </w:r>
    </w:p>
    <w:p w14:paraId="1283183F" w14:textId="435EA38D" w:rsidR="004C70EA" w:rsidRDefault="004C70EA" w:rsidP="004C70EA">
      <w:pPr>
        <w:pStyle w:val="ListParagraph"/>
        <w:numPr>
          <w:ilvl w:val="0"/>
          <w:numId w:val="8"/>
        </w:numPr>
      </w:pPr>
      <w:r>
        <w:t>Evaporating basin</w:t>
      </w:r>
    </w:p>
    <w:p w14:paraId="20B539DB" w14:textId="43530C8E" w:rsidR="004C70EA" w:rsidRDefault="004C70EA" w:rsidP="004C70EA">
      <w:pPr>
        <w:pStyle w:val="ListParagraph"/>
        <w:numPr>
          <w:ilvl w:val="0"/>
          <w:numId w:val="8"/>
        </w:numPr>
      </w:pPr>
      <w:r>
        <w:t>Heating equipment</w:t>
      </w:r>
    </w:p>
    <w:p w14:paraId="64157016" w14:textId="4F799FCA" w:rsidR="00670696" w:rsidRDefault="00670696" w:rsidP="004C70EA">
      <w:pPr>
        <w:pStyle w:val="ListParagraph"/>
        <w:numPr>
          <w:ilvl w:val="0"/>
          <w:numId w:val="8"/>
        </w:numPr>
      </w:pPr>
      <w:r>
        <w:t>Measuring cylinders of assorted sizes</w:t>
      </w:r>
    </w:p>
    <w:p w14:paraId="07F3EF6A" w14:textId="706E6315" w:rsidR="00670696" w:rsidRDefault="00670696" w:rsidP="004C70EA">
      <w:pPr>
        <w:pStyle w:val="ListParagraph"/>
        <w:numPr>
          <w:ilvl w:val="0"/>
          <w:numId w:val="8"/>
        </w:numPr>
      </w:pPr>
      <w:r>
        <w:t>Indicator paper</w:t>
      </w:r>
    </w:p>
    <w:p w14:paraId="547A1FF1" w14:textId="4C515A7D" w:rsidR="00C353A8" w:rsidRDefault="00B46553" w:rsidP="0005693A">
      <w:r>
        <w:t>Each layer re</w:t>
      </w:r>
      <w:r w:rsidR="00C353A8">
        <w:t xml:space="preserve">presents a season of snowfall. </w:t>
      </w:r>
      <w:r>
        <w:t>There are two seasons</w:t>
      </w:r>
      <w:r w:rsidR="004C70EA">
        <w:t xml:space="preserve"> per year</w:t>
      </w:r>
      <w:r>
        <w:t>, summer and winter, and th</w:t>
      </w:r>
      <w:r w:rsidR="00C353A8">
        <w:t xml:space="preserve">eir ice is slightly different. </w:t>
      </w:r>
      <w:r w:rsidR="00AD3B11">
        <w:t>In this activity</w:t>
      </w:r>
      <w:r w:rsidR="00C353A8">
        <w:t>,</w:t>
      </w:r>
      <w:r w:rsidR="00AD3B11">
        <w:t xml:space="preserve"> the winter ice is shown using blue dye to make the exercise easier for students to interpret.</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9"/>
        <w:gridCol w:w="6371"/>
      </w:tblGrid>
      <w:tr w:rsidR="00D525FD" w14:paraId="4527D8C9" w14:textId="77777777" w:rsidTr="00F011BD">
        <w:tc>
          <w:tcPr>
            <w:tcW w:w="2689" w:type="dxa"/>
          </w:tcPr>
          <w:p w14:paraId="0CBC624E" w14:textId="29D296B6" w:rsidR="00D525FD" w:rsidRPr="00F011BD" w:rsidRDefault="00F011BD" w:rsidP="00F011BD">
            <w:pPr>
              <w:spacing w:after="0"/>
              <w:rPr>
                <w:b/>
                <w:bCs/>
              </w:rPr>
            </w:pPr>
            <w:r w:rsidRPr="00F011BD">
              <w:rPr>
                <w:b/>
                <w:bCs/>
              </w:rPr>
              <w:t>Component</w:t>
            </w:r>
          </w:p>
        </w:tc>
        <w:tc>
          <w:tcPr>
            <w:tcW w:w="6371" w:type="dxa"/>
          </w:tcPr>
          <w:p w14:paraId="3214059B" w14:textId="61B4BA0F" w:rsidR="00D525FD" w:rsidRPr="00F011BD" w:rsidRDefault="00F011BD" w:rsidP="00F011BD">
            <w:pPr>
              <w:spacing w:after="0"/>
              <w:rPr>
                <w:b/>
                <w:bCs/>
              </w:rPr>
            </w:pPr>
            <w:r w:rsidRPr="00F011BD">
              <w:rPr>
                <w:b/>
                <w:bCs/>
              </w:rPr>
              <w:t>Significance within the ice core</w:t>
            </w:r>
          </w:p>
        </w:tc>
      </w:tr>
      <w:tr w:rsidR="00D525FD" w14:paraId="611CB3E2" w14:textId="77777777" w:rsidTr="00F011BD">
        <w:tc>
          <w:tcPr>
            <w:tcW w:w="2689" w:type="dxa"/>
          </w:tcPr>
          <w:p w14:paraId="24B469D1" w14:textId="183FE9AF" w:rsidR="00D525FD" w:rsidRDefault="00F011BD" w:rsidP="00F011BD">
            <w:pPr>
              <w:spacing w:after="0"/>
            </w:pPr>
            <w:r>
              <w:t>Boiled water</w:t>
            </w:r>
          </w:p>
        </w:tc>
        <w:tc>
          <w:tcPr>
            <w:tcW w:w="6371" w:type="dxa"/>
          </w:tcPr>
          <w:p w14:paraId="384C45C0" w14:textId="15CB6FA3" w:rsidR="00D525FD" w:rsidRDefault="00F011BD" w:rsidP="00F011BD">
            <w:pPr>
              <w:spacing w:after="0"/>
            </w:pPr>
            <w:r>
              <w:t>Boiled water has a lower gas content than water drawn from the tap.</w:t>
            </w:r>
          </w:p>
        </w:tc>
      </w:tr>
      <w:tr w:rsidR="00D525FD" w14:paraId="57456F78" w14:textId="77777777" w:rsidTr="00F011BD">
        <w:tc>
          <w:tcPr>
            <w:tcW w:w="2689" w:type="dxa"/>
          </w:tcPr>
          <w:p w14:paraId="252DDCD7" w14:textId="2FD26C54" w:rsidR="00D525FD" w:rsidRDefault="00F011BD" w:rsidP="00F011BD">
            <w:pPr>
              <w:spacing w:after="0"/>
            </w:pPr>
            <w:r>
              <w:t>Carbon powder suspension</w:t>
            </w:r>
          </w:p>
        </w:tc>
        <w:tc>
          <w:tcPr>
            <w:tcW w:w="6371" w:type="dxa"/>
          </w:tcPr>
          <w:p w14:paraId="6B7DE19F" w14:textId="3749445F" w:rsidR="00D525FD" w:rsidRDefault="00F011BD" w:rsidP="00F011BD">
            <w:pPr>
              <w:spacing w:after="0"/>
            </w:pPr>
            <w:r>
              <w:t>Ash from volcanic eruptions</w:t>
            </w:r>
          </w:p>
        </w:tc>
      </w:tr>
      <w:tr w:rsidR="00D525FD" w14:paraId="311EFDCA" w14:textId="77777777" w:rsidTr="00F011BD">
        <w:tc>
          <w:tcPr>
            <w:tcW w:w="2689" w:type="dxa"/>
          </w:tcPr>
          <w:p w14:paraId="1DD23F37" w14:textId="127D2BED" w:rsidR="00D525FD" w:rsidRDefault="00F011BD" w:rsidP="00F011BD">
            <w:pPr>
              <w:spacing w:after="0"/>
            </w:pPr>
            <w:r>
              <w:t>Water</w:t>
            </w:r>
            <w:r w:rsidR="007063C0">
              <w:t xml:space="preserve"> (colourless)</w:t>
            </w:r>
          </w:p>
        </w:tc>
        <w:tc>
          <w:tcPr>
            <w:tcW w:w="6371" w:type="dxa"/>
          </w:tcPr>
          <w:p w14:paraId="25CFD4AF" w14:textId="1F2F116C" w:rsidR="00D525FD" w:rsidRDefault="007063C0" w:rsidP="00F011BD">
            <w:pPr>
              <w:spacing w:after="0"/>
            </w:pPr>
            <w:r>
              <w:t>The colourless layers represent the summer ice which is less dense than the winter ice.</w:t>
            </w:r>
          </w:p>
        </w:tc>
      </w:tr>
      <w:tr w:rsidR="007063C0" w14:paraId="3566A2F7" w14:textId="77777777" w:rsidTr="00F011BD">
        <w:tc>
          <w:tcPr>
            <w:tcW w:w="2689" w:type="dxa"/>
          </w:tcPr>
          <w:p w14:paraId="6CA54C51" w14:textId="37AA89FE" w:rsidR="007063C0" w:rsidRDefault="007063C0" w:rsidP="00F011BD">
            <w:pPr>
              <w:spacing w:after="0"/>
            </w:pPr>
            <w:r>
              <w:t>Water (blue)</w:t>
            </w:r>
          </w:p>
        </w:tc>
        <w:tc>
          <w:tcPr>
            <w:tcW w:w="6371" w:type="dxa"/>
          </w:tcPr>
          <w:p w14:paraId="1C6DA52E" w14:textId="6C6F0EED" w:rsidR="007063C0" w:rsidRDefault="007063C0" w:rsidP="00F011BD">
            <w:pPr>
              <w:spacing w:after="0"/>
            </w:pPr>
            <w:r>
              <w:t xml:space="preserve">The blue layers represent the winter ice which is </w:t>
            </w:r>
            <w:proofErr w:type="gramStart"/>
            <w:r>
              <w:t>more dense</w:t>
            </w:r>
            <w:proofErr w:type="gramEnd"/>
            <w:r>
              <w:t xml:space="preserve"> than the summer ice.</w:t>
            </w:r>
          </w:p>
        </w:tc>
      </w:tr>
      <w:tr w:rsidR="007063C0" w14:paraId="52121E42" w14:textId="77777777" w:rsidTr="00F011BD">
        <w:tc>
          <w:tcPr>
            <w:tcW w:w="2689" w:type="dxa"/>
          </w:tcPr>
          <w:p w14:paraId="3D772F4A" w14:textId="38E580EB" w:rsidR="007063C0" w:rsidRDefault="00670696" w:rsidP="00F011BD">
            <w:pPr>
              <w:spacing w:after="0"/>
            </w:pPr>
            <w:r>
              <w:t>Carbonated water (either blue or colourless)</w:t>
            </w:r>
          </w:p>
        </w:tc>
        <w:tc>
          <w:tcPr>
            <w:tcW w:w="6371" w:type="dxa"/>
          </w:tcPr>
          <w:p w14:paraId="205E05D2" w14:textId="3951E8FF" w:rsidR="007063C0" w:rsidRDefault="00670696" w:rsidP="00F011BD">
            <w:pPr>
              <w:spacing w:after="0"/>
            </w:pPr>
            <w:r>
              <w:t>This leaves large bubbles in the ice which can be tested for gases. In this activity students will test the pH of the melted sample to test for the presence of dissolved CO</w:t>
            </w:r>
            <w:r w:rsidRPr="00670696">
              <w:rPr>
                <w:vertAlign w:val="subscript"/>
              </w:rPr>
              <w:t>2</w:t>
            </w:r>
            <w:r>
              <w:t>.</w:t>
            </w:r>
          </w:p>
        </w:tc>
      </w:tr>
      <w:tr w:rsidR="007063C0" w14:paraId="0969B9A4" w14:textId="77777777" w:rsidTr="00F011BD">
        <w:tc>
          <w:tcPr>
            <w:tcW w:w="2689" w:type="dxa"/>
          </w:tcPr>
          <w:p w14:paraId="45CC5611" w14:textId="76A5AE2B" w:rsidR="007063C0" w:rsidRDefault="00650EE8" w:rsidP="00F011BD">
            <w:pPr>
              <w:spacing w:after="0"/>
            </w:pPr>
            <w:r>
              <w:t>Chopped grass</w:t>
            </w:r>
          </w:p>
        </w:tc>
        <w:tc>
          <w:tcPr>
            <w:tcW w:w="6371" w:type="dxa"/>
          </w:tcPr>
          <w:p w14:paraId="4B0E94A7" w14:textId="054BA046" w:rsidR="007063C0" w:rsidRDefault="00650EE8" w:rsidP="00F011BD">
            <w:pPr>
              <w:spacing w:after="0"/>
            </w:pPr>
            <w:r>
              <w:t xml:space="preserve">The </w:t>
            </w:r>
            <w:r w:rsidR="006141A9">
              <w:t>chopped grass represents phytoplankton, organic material that is present when sea ice has expanded into the ice core area.</w:t>
            </w:r>
          </w:p>
        </w:tc>
      </w:tr>
      <w:tr w:rsidR="00D525FD" w14:paraId="727E5B52" w14:textId="77777777" w:rsidTr="00F011BD">
        <w:tc>
          <w:tcPr>
            <w:tcW w:w="2689" w:type="dxa"/>
          </w:tcPr>
          <w:p w14:paraId="0CFAFB6A" w14:textId="36C60A41" w:rsidR="00D525FD" w:rsidRDefault="00F011BD" w:rsidP="00F011BD">
            <w:pPr>
              <w:spacing w:after="0"/>
            </w:pPr>
            <w:r>
              <w:t>Salt water</w:t>
            </w:r>
            <w:r w:rsidR="00C166B0">
              <w:t xml:space="preserve"> (dilute not concentrated brine)</w:t>
            </w:r>
          </w:p>
        </w:tc>
        <w:tc>
          <w:tcPr>
            <w:tcW w:w="6371" w:type="dxa"/>
          </w:tcPr>
          <w:p w14:paraId="138BBA7F" w14:textId="4CDFE68D" w:rsidR="00D525FD" w:rsidRDefault="00F011BD" w:rsidP="00F011BD">
            <w:pPr>
              <w:spacing w:after="0"/>
            </w:pPr>
            <w:r>
              <w:t xml:space="preserve">The presence of salt in an ice core shows that </w:t>
            </w:r>
            <w:r w:rsidR="007063C0">
              <w:t>sea ice has expanded into the ice core area.</w:t>
            </w:r>
          </w:p>
        </w:tc>
      </w:tr>
    </w:tbl>
    <w:p w14:paraId="1DE21C27" w14:textId="77777777" w:rsidR="00D525FD" w:rsidRDefault="00D525FD" w:rsidP="0005693A"/>
    <w:p w14:paraId="7DFD20B1" w14:textId="4FEE660F" w:rsidR="00C166B0" w:rsidRDefault="00C166B0" w:rsidP="00C166B0">
      <w:pPr>
        <w:pStyle w:val="Heading2"/>
      </w:pPr>
      <w:r>
        <w:lastRenderedPageBreak/>
        <w:t>Preparation method</w:t>
      </w:r>
    </w:p>
    <w:p w14:paraId="1D041043" w14:textId="24F64C78" w:rsidR="00C166B0" w:rsidRDefault="00C166B0" w:rsidP="00C166B0">
      <w:r>
        <w:t>Preparation needs to be carried out at least a week in advance of any lesson. Once prepared the ice cores should be able to be used again for other classes.</w:t>
      </w:r>
    </w:p>
    <w:p w14:paraId="19E0AEC0" w14:textId="38E96B7F" w:rsidR="00C166B0" w:rsidRDefault="00C166B0" w:rsidP="00C166B0">
      <w:pPr>
        <w:pStyle w:val="ListParagraph"/>
        <w:numPr>
          <w:ilvl w:val="0"/>
          <w:numId w:val="9"/>
        </w:numPr>
      </w:pPr>
      <w:r>
        <w:t>Set up the number of tubes you need per class on the bench.</w:t>
      </w:r>
    </w:p>
    <w:p w14:paraId="469ABA49" w14:textId="7CCA9A14" w:rsidR="00C166B0" w:rsidRDefault="00C166B0" w:rsidP="00C166B0">
      <w:pPr>
        <w:pStyle w:val="ListParagraph"/>
        <w:numPr>
          <w:ilvl w:val="0"/>
          <w:numId w:val="9"/>
        </w:numPr>
      </w:pPr>
      <w:r>
        <w:t>Add the solution to a suitable depth. Ideally add different solutions from the choices outlined in the table above and to different depths so each group’s ice core is different.</w:t>
      </w:r>
    </w:p>
    <w:p w14:paraId="49DEA0C6" w14:textId="590DBD99" w:rsidR="00C166B0" w:rsidRDefault="00C166B0" w:rsidP="00C166B0">
      <w:pPr>
        <w:pStyle w:val="ListParagraph"/>
        <w:numPr>
          <w:ilvl w:val="0"/>
          <w:numId w:val="9"/>
        </w:numPr>
      </w:pPr>
      <w:r>
        <w:t>Put the tubes in the freezer overnight until the solution freeze</w:t>
      </w:r>
      <w:r w:rsidR="00C353A8">
        <w:t>s</w:t>
      </w:r>
      <w:r>
        <w:t xml:space="preserve"> solid. </w:t>
      </w:r>
    </w:p>
    <w:p w14:paraId="66841FAD" w14:textId="64FE0290" w:rsidR="00C166B0" w:rsidRDefault="00C166B0" w:rsidP="00C166B0">
      <w:pPr>
        <w:pStyle w:val="ListParagraph"/>
        <w:numPr>
          <w:ilvl w:val="0"/>
          <w:numId w:val="9"/>
        </w:numPr>
      </w:pPr>
      <w:r>
        <w:t xml:space="preserve">Add the next layer of solutions and repeat the freezing process. </w:t>
      </w:r>
    </w:p>
    <w:p w14:paraId="75C0154C" w14:textId="7FB5352F" w:rsidR="00C166B0" w:rsidRDefault="00C166B0" w:rsidP="00C166B0">
      <w:pPr>
        <w:pStyle w:val="ListParagraph"/>
        <w:numPr>
          <w:ilvl w:val="0"/>
          <w:numId w:val="9"/>
        </w:numPr>
      </w:pPr>
      <w:r>
        <w:t>Repeat until the tube is full or sufficient layers have been poured.</w:t>
      </w:r>
    </w:p>
    <w:bookmarkEnd w:id="1"/>
    <w:p w14:paraId="2D44F240" w14:textId="6D64FE98" w:rsidR="009A263C" w:rsidRDefault="009A263C" w:rsidP="009A263C">
      <w:pPr>
        <w:pStyle w:val="Heading2"/>
      </w:pPr>
      <w:r>
        <w:t>Teaching notes</w:t>
      </w:r>
    </w:p>
    <w:p w14:paraId="3DF702C6" w14:textId="2C478696" w:rsidR="009A263C" w:rsidRDefault="009A263C" w:rsidP="0005693A">
      <w:r>
        <w:t xml:space="preserve">This activity can be planned to focus on different skills depending on the needs of the class. </w:t>
      </w:r>
    </w:p>
    <w:p w14:paraId="4F02F72B" w14:textId="6C04C1C0" w:rsidR="009A263C" w:rsidRDefault="009A263C" w:rsidP="0005693A">
      <w:r>
        <w:t>Planning – students can plan their approach to collecting evidence from their</w:t>
      </w:r>
      <w:r w:rsidR="00F471AF">
        <w:t xml:space="preserve"> ice core. </w:t>
      </w:r>
      <w:r>
        <w:t>Give them copies of the table of evidence types and ask them what they will look for or what analysis they could carry out.</w:t>
      </w:r>
    </w:p>
    <w:p w14:paraId="1B8B4A3A" w14:textId="3E187ED1" w:rsidR="009A263C" w:rsidRDefault="009A263C" w:rsidP="0005693A">
      <w:r>
        <w:t xml:space="preserve">Recording/presenting data </w:t>
      </w:r>
      <w:r w:rsidR="00630495">
        <w:t>–</w:t>
      </w:r>
      <w:r>
        <w:t xml:space="preserve"> </w:t>
      </w:r>
      <w:r w:rsidR="00630495">
        <w:t>carrying out the practical analysis generates lots of diff</w:t>
      </w:r>
      <w:r w:rsidR="006848A9">
        <w:t>erent data. Students can practis</w:t>
      </w:r>
      <w:bookmarkStart w:id="2" w:name="_GoBack"/>
      <w:bookmarkEnd w:id="2"/>
      <w:r w:rsidR="00630495">
        <w:t>e accurate and concise record keeping</w:t>
      </w:r>
      <w:r w:rsidR="00491784">
        <w:t>, perhaps with a mock lab book.</w:t>
      </w:r>
    </w:p>
    <w:p w14:paraId="5BF5AC04" w14:textId="570D448A" w:rsidR="00491784" w:rsidRDefault="00491784" w:rsidP="0005693A">
      <w:r>
        <w:t>Drawing conclusions – once all the data has been gathered, students can focus on writing up their conclusions to show the story of their ice core sample site.</w:t>
      </w:r>
    </w:p>
    <w:p w14:paraId="416654EB" w14:textId="48324816" w:rsidR="007705C4" w:rsidRDefault="007705C4" w:rsidP="0005693A"/>
    <w:sectPr w:rsidR="007705C4"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A2736" w14:textId="77777777" w:rsidR="00622B05" w:rsidRDefault="00622B05" w:rsidP="000D3D40">
      <w:r>
        <w:separator/>
      </w:r>
    </w:p>
  </w:endnote>
  <w:endnote w:type="continuationSeparator" w:id="0">
    <w:p w14:paraId="267FE376" w14:textId="77777777" w:rsidR="00622B05" w:rsidRDefault="00622B0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0A686B49"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6848A9">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6848A9">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4CA2DDE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6848A9">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6848A9">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139BE" w14:textId="77777777" w:rsidR="00622B05" w:rsidRDefault="00622B05" w:rsidP="000D3D40">
      <w:r>
        <w:separator/>
      </w:r>
    </w:p>
  </w:footnote>
  <w:footnote w:type="continuationSeparator" w:id="0">
    <w:p w14:paraId="51CA7BEF" w14:textId="77777777" w:rsidR="00622B05" w:rsidRDefault="00622B0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72B405A" w:rsidR="00343CBA" w:rsidRDefault="007A5E1E" w:rsidP="009875B2">
    <w:pPr>
      <w:pStyle w:val="Header"/>
      <w:jc w:val="right"/>
    </w:pPr>
    <w:r>
      <w:rPr>
        <w:noProof/>
        <w:lang w:eastAsia="en-GB"/>
      </w:rPr>
      <w:drawing>
        <wp:inline distT="0" distB="0" distL="0" distR="0" wp14:anchorId="7EFAF15A" wp14:editId="0150A6DF">
          <wp:extent cx="1804670" cy="1219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06C94"/>
    <w:multiLevelType w:val="hybridMultilevel"/>
    <w:tmpl w:val="8B52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C505AA"/>
    <w:multiLevelType w:val="hybridMultilevel"/>
    <w:tmpl w:val="0C301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5"/>
    <w:lvlOverride w:ilvl="0">
      <w:startOverride w:val="2"/>
    </w:lvlOverride>
  </w:num>
  <w:num w:numId="6">
    <w:abstractNumId w:val="4"/>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84378"/>
    <w:rsid w:val="000D3D40"/>
    <w:rsid w:val="000D440E"/>
    <w:rsid w:val="0010603F"/>
    <w:rsid w:val="00112D04"/>
    <w:rsid w:val="001167A2"/>
    <w:rsid w:val="0015106E"/>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204D"/>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1784"/>
    <w:rsid w:val="00496E2E"/>
    <w:rsid w:val="004A2D91"/>
    <w:rsid w:val="004A32F0"/>
    <w:rsid w:val="004B204F"/>
    <w:rsid w:val="004B2F65"/>
    <w:rsid w:val="004C70EA"/>
    <w:rsid w:val="005065D4"/>
    <w:rsid w:val="00510295"/>
    <w:rsid w:val="00515A5A"/>
    <w:rsid w:val="00520BDA"/>
    <w:rsid w:val="0054664B"/>
    <w:rsid w:val="005516AC"/>
    <w:rsid w:val="0056407C"/>
    <w:rsid w:val="00596ABE"/>
    <w:rsid w:val="005A7495"/>
    <w:rsid w:val="005C02D2"/>
    <w:rsid w:val="005D668B"/>
    <w:rsid w:val="005D7FAF"/>
    <w:rsid w:val="005F1C11"/>
    <w:rsid w:val="005F451D"/>
    <w:rsid w:val="00613760"/>
    <w:rsid w:val="006141A9"/>
    <w:rsid w:val="00622B05"/>
    <w:rsid w:val="00630495"/>
    <w:rsid w:val="00635F98"/>
    <w:rsid w:val="006437AB"/>
    <w:rsid w:val="00650EE8"/>
    <w:rsid w:val="006525C2"/>
    <w:rsid w:val="006532A6"/>
    <w:rsid w:val="00654FDB"/>
    <w:rsid w:val="00662B91"/>
    <w:rsid w:val="00670696"/>
    <w:rsid w:val="0067206C"/>
    <w:rsid w:val="006758AB"/>
    <w:rsid w:val="006848A9"/>
    <w:rsid w:val="00694F0B"/>
    <w:rsid w:val="006978DE"/>
    <w:rsid w:val="006D3E26"/>
    <w:rsid w:val="006F6F73"/>
    <w:rsid w:val="007063C0"/>
    <w:rsid w:val="00707FDD"/>
    <w:rsid w:val="00714A35"/>
    <w:rsid w:val="00723F23"/>
    <w:rsid w:val="007358E3"/>
    <w:rsid w:val="0075451A"/>
    <w:rsid w:val="00755C7E"/>
    <w:rsid w:val="00763909"/>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A263C"/>
    <w:rsid w:val="009C5777"/>
    <w:rsid w:val="009D4E77"/>
    <w:rsid w:val="009F0DFC"/>
    <w:rsid w:val="009F3445"/>
    <w:rsid w:val="00A42400"/>
    <w:rsid w:val="00A434AF"/>
    <w:rsid w:val="00A50EEB"/>
    <w:rsid w:val="00A52886"/>
    <w:rsid w:val="00A75F4C"/>
    <w:rsid w:val="00A9584B"/>
    <w:rsid w:val="00AB1738"/>
    <w:rsid w:val="00AC39A7"/>
    <w:rsid w:val="00AD3B11"/>
    <w:rsid w:val="00AE621F"/>
    <w:rsid w:val="00AE7C6A"/>
    <w:rsid w:val="00AF3542"/>
    <w:rsid w:val="00AF776F"/>
    <w:rsid w:val="00B20041"/>
    <w:rsid w:val="00B46553"/>
    <w:rsid w:val="00B57B2A"/>
    <w:rsid w:val="00BA512C"/>
    <w:rsid w:val="00BB1F22"/>
    <w:rsid w:val="00BC56DE"/>
    <w:rsid w:val="00C166B0"/>
    <w:rsid w:val="00C17DDC"/>
    <w:rsid w:val="00C3053B"/>
    <w:rsid w:val="00C353A8"/>
    <w:rsid w:val="00CD10BF"/>
    <w:rsid w:val="00D174D9"/>
    <w:rsid w:val="00D20A6A"/>
    <w:rsid w:val="00D34A04"/>
    <w:rsid w:val="00D5111B"/>
    <w:rsid w:val="00D525FD"/>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11BD"/>
    <w:rsid w:val="00F05BEA"/>
    <w:rsid w:val="00F32AE0"/>
    <w:rsid w:val="00F33F60"/>
    <w:rsid w:val="00F47056"/>
    <w:rsid w:val="00F471AF"/>
    <w:rsid w:val="00F60031"/>
    <w:rsid w:val="00F76CF5"/>
    <w:rsid w:val="00F76FB3"/>
    <w:rsid w:val="00F91DF0"/>
    <w:rsid w:val="00FA248D"/>
    <w:rsid w:val="00FA7F39"/>
    <w:rsid w:val="00FB66F1"/>
    <w:rsid w:val="00FC60FB"/>
    <w:rsid w:val="00FD3BA3"/>
    <w:rsid w:val="00FD3F2B"/>
    <w:rsid w:val="00FD7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408C6"/>
  <w15:docId w15:val="{16CE55A6-3BB0-490D-B006-7EEED04A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WJHjU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27d643f5-4560-4eff-9f48-d0fe6b2bec2d"/>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Frozen in time: hands on evidence</dc:title>
  <dc:subject>Demonstration silver acetylide as a contact explosive</dc:subject>
  <dc:creator>Royal Society of Chemistry</dc:creator>
  <dc:description>Ice core chemistry; atmospheric chemistry; designing experiments; data analysis</dc:description>
  <cp:lastModifiedBy>Lisa Clatworthy</cp:lastModifiedBy>
  <cp:revision>7</cp:revision>
  <dcterms:created xsi:type="dcterms:W3CDTF">2019-11-05T15:27:00Z</dcterms:created>
  <dcterms:modified xsi:type="dcterms:W3CDTF">2019-11-05T16:22:00Z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