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96CB" w14:textId="305E6800" w:rsidR="006274A3" w:rsidRDefault="006274A3" w:rsidP="006274A3">
      <w:pPr>
        <w:pStyle w:val="Leadparagraph"/>
        <w:rPr>
          <w:rFonts w:eastAsiaTheme="majorEastAsia" w:cstheme="majorBidi"/>
          <w:bCs/>
          <w:color w:val="2C4D67"/>
          <w:sz w:val="30"/>
          <w:szCs w:val="30"/>
        </w:rPr>
      </w:pPr>
      <w:r w:rsidRPr="00633CE1">
        <w:rPr>
          <w:rFonts w:eastAsiaTheme="majorEastAsia" w:cstheme="majorBidi"/>
          <w:bCs/>
          <w:color w:val="2C4D67"/>
          <w:sz w:val="30"/>
          <w:szCs w:val="30"/>
        </w:rPr>
        <w:t xml:space="preserve">Smartphone </w:t>
      </w:r>
      <w:r w:rsidR="00FF1180">
        <w:rPr>
          <w:rFonts w:eastAsiaTheme="majorEastAsia" w:cstheme="majorBidi"/>
          <w:bCs/>
          <w:color w:val="2C4D67"/>
          <w:sz w:val="30"/>
          <w:szCs w:val="30"/>
        </w:rPr>
        <w:t>s</w:t>
      </w:r>
      <w:r w:rsidRPr="00633CE1">
        <w:rPr>
          <w:rFonts w:eastAsiaTheme="majorEastAsia" w:cstheme="majorBidi"/>
          <w:bCs/>
          <w:color w:val="2C4D67"/>
          <w:sz w:val="30"/>
          <w:szCs w:val="30"/>
        </w:rPr>
        <w:t xml:space="preserve">pectroscopy: </w:t>
      </w:r>
      <w:r w:rsidR="00FF1180">
        <w:rPr>
          <w:rFonts w:eastAsiaTheme="majorEastAsia" w:cstheme="majorBidi"/>
          <w:bCs/>
          <w:color w:val="2C4D67"/>
          <w:sz w:val="30"/>
          <w:szCs w:val="30"/>
        </w:rPr>
        <w:t>Beer</w:t>
      </w:r>
      <w:r w:rsidR="00BB513D">
        <w:rPr>
          <w:rFonts w:eastAsiaTheme="majorEastAsia" w:cstheme="majorBidi"/>
          <w:bCs/>
          <w:color w:val="2C4D67"/>
          <w:sz w:val="30"/>
          <w:szCs w:val="30"/>
        </w:rPr>
        <w:t>–</w:t>
      </w:r>
      <w:r w:rsidR="00FF1180">
        <w:rPr>
          <w:rFonts w:eastAsiaTheme="majorEastAsia" w:cstheme="majorBidi"/>
          <w:bCs/>
          <w:color w:val="2C4D67"/>
          <w:sz w:val="30"/>
          <w:szCs w:val="30"/>
        </w:rPr>
        <w:t>Lambert l</w:t>
      </w:r>
      <w:r>
        <w:rPr>
          <w:rFonts w:eastAsiaTheme="majorEastAsia" w:cstheme="majorBidi"/>
          <w:bCs/>
          <w:color w:val="2C4D67"/>
          <w:sz w:val="30"/>
          <w:szCs w:val="30"/>
        </w:rPr>
        <w:t>aw</w:t>
      </w:r>
    </w:p>
    <w:p w14:paraId="15CE8942" w14:textId="2353D2A9" w:rsidR="00AC639E" w:rsidRPr="007D50E0" w:rsidRDefault="00AC639E" w:rsidP="00AC639E">
      <w:pPr>
        <w:pStyle w:val="Leadparagraph"/>
        <w:rPr>
          <w:b w:val="0"/>
        </w:rPr>
      </w:pPr>
      <w:r w:rsidRPr="57B7AE3C">
        <w:rPr>
          <w:rStyle w:val="LeadparagraphChar"/>
          <w:b/>
          <w:bCs/>
          <w:i/>
          <w:iCs/>
        </w:rPr>
        <w:t>Education in Chemistry</w:t>
      </w:r>
      <w:r>
        <w:br/>
      </w:r>
      <w:r w:rsidR="43257AF4" w:rsidRPr="57B7AE3C">
        <w:rPr>
          <w:rStyle w:val="LeadparagraphChar"/>
        </w:rPr>
        <w:t>January 2021</w:t>
      </w:r>
      <w:r>
        <w:br/>
      </w:r>
      <w:hyperlink r:id="rId10" w:history="1">
        <w:r w:rsidR="00B95F0A" w:rsidRPr="002063C7">
          <w:rPr>
            <w:rStyle w:val="Hyperlink"/>
          </w:rPr>
          <w:t>rsc.li/2XFiZE8</w:t>
        </w:r>
      </w:hyperlink>
      <w:r w:rsidR="00B95F0A">
        <w:rPr>
          <w:rStyle w:val="LeadparagraphChar"/>
        </w:rPr>
        <w:t xml:space="preserve"> </w:t>
      </w:r>
    </w:p>
    <w:p w14:paraId="79B9E9E7" w14:textId="78955227" w:rsidR="006274A3" w:rsidRDefault="00FF1180" w:rsidP="006274A3">
      <w:pPr>
        <w:pStyle w:val="Leadparagraph"/>
        <w:rPr>
          <w:shd w:val="clear" w:color="auto" w:fill="FFFFFF"/>
        </w:rPr>
      </w:pPr>
      <w:r>
        <w:rPr>
          <w:rFonts w:ascii="Helvetica" w:hAnsi="Helvetica" w:cs="Helvetica"/>
          <w:color w:val="000000"/>
          <w:shd w:val="clear" w:color="auto" w:fill="FFFFFF"/>
        </w:rPr>
        <w:t xml:space="preserve">Explore colour and concentration using </w:t>
      </w:r>
      <w:r w:rsidR="006274A3">
        <w:rPr>
          <w:rFonts w:ascii="Helvetica" w:hAnsi="Helvetica" w:cs="Helvetica"/>
          <w:color w:val="000000"/>
          <w:shd w:val="clear" w:color="auto" w:fill="FFFFFF"/>
        </w:rPr>
        <w:t xml:space="preserve">a smartphone, some fruit </w:t>
      </w:r>
      <w:r w:rsidR="1F2BEDEF">
        <w:rPr>
          <w:rFonts w:ascii="Helvetica" w:hAnsi="Helvetica" w:cs="Helvetica"/>
          <w:color w:val="000000"/>
          <w:shd w:val="clear" w:color="auto" w:fill="FFFFFF"/>
        </w:rPr>
        <w:t>squash</w:t>
      </w:r>
      <w:r w:rsidR="006274A3">
        <w:rPr>
          <w:rFonts w:ascii="Helvetica" w:hAnsi="Helvetica" w:cs="Helvetica"/>
          <w:color w:val="000000"/>
          <w:shd w:val="clear" w:color="auto" w:fill="FFFFFF"/>
        </w:rPr>
        <w:t>, a filter and a torch</w:t>
      </w:r>
      <w:r>
        <w:rPr>
          <w:rFonts w:ascii="Helvetica" w:hAnsi="Helvetica" w:cs="Helvetica"/>
          <w:color w:val="000000"/>
          <w:shd w:val="clear" w:color="auto" w:fill="FFFFFF"/>
        </w:rPr>
        <w:t>. Investigate t</w:t>
      </w:r>
      <w:r w:rsidR="00BB513D">
        <w:rPr>
          <w:rFonts w:ascii="Helvetica" w:hAnsi="Helvetica" w:cs="Helvetica"/>
          <w:color w:val="000000"/>
          <w:shd w:val="clear" w:color="auto" w:fill="FFFFFF"/>
        </w:rPr>
        <w:t>he Beer–</w:t>
      </w:r>
      <w:r w:rsidR="006274A3">
        <w:rPr>
          <w:rFonts w:ascii="Helvetica" w:hAnsi="Helvetica" w:cs="Helvetica"/>
          <w:color w:val="000000"/>
          <w:shd w:val="clear" w:color="auto" w:fill="FFFFFF"/>
        </w:rPr>
        <w:t xml:space="preserve">Lambert law through </w:t>
      </w:r>
      <w:r>
        <w:rPr>
          <w:rFonts w:ascii="Helvetica" w:hAnsi="Helvetica" w:cs="Helvetica"/>
          <w:color w:val="000000"/>
          <w:shd w:val="clear" w:color="auto" w:fill="FFFFFF"/>
        </w:rPr>
        <w:t>calculations based on your results</w:t>
      </w:r>
      <w:r w:rsidR="006274A3">
        <w:rPr>
          <w:rFonts w:ascii="Helvetica" w:hAnsi="Helvetica" w:cs="Helvetica"/>
          <w:color w:val="000000"/>
          <w:shd w:val="clear" w:color="auto" w:fill="FFFFFF"/>
        </w:rPr>
        <w:t>.</w:t>
      </w:r>
    </w:p>
    <w:p w14:paraId="1E8FD9DE" w14:textId="5022D790" w:rsidR="00AC639E" w:rsidRDefault="00A065D9" w:rsidP="00AC639E">
      <w:pPr>
        <w:pStyle w:val="Heading2"/>
      </w:pPr>
      <w:r>
        <w:t>Measuring lux at different concentrations</w:t>
      </w:r>
    </w:p>
    <w:p w14:paraId="2C5B7BD6" w14:textId="322E4705" w:rsidR="006274A3" w:rsidRPr="00C80FA5" w:rsidRDefault="006274A3" w:rsidP="00221F1D">
      <w:r>
        <w:t>Watch the video here</w:t>
      </w:r>
      <w:r w:rsidR="00E03A2C">
        <w:t xml:space="preserve">: </w:t>
      </w:r>
      <w:hyperlink r:id="rId11" w:history="1">
        <w:r w:rsidR="00E03A2C" w:rsidRPr="002063C7">
          <w:rPr>
            <w:rStyle w:val="Hyperlink"/>
          </w:rPr>
          <w:t>rsc.li/3bCk0W2</w:t>
        </w:r>
      </w:hyperlink>
      <w:r w:rsidR="00E03A2C">
        <w:t xml:space="preserve">. </w:t>
      </w:r>
    </w:p>
    <w:p w14:paraId="4CAA7ABC" w14:textId="2CE761CC" w:rsidR="006274A3" w:rsidRPr="00C80FA5" w:rsidRDefault="00A065D9" w:rsidP="006274A3">
      <w:r>
        <w:rPr>
          <w:rFonts w:ascii="Helvetica" w:hAnsi="Helvetica" w:cs="Helvetica"/>
          <w:color w:val="000000"/>
          <w:shd w:val="clear" w:color="auto" w:fill="FFFFFF"/>
        </w:rPr>
        <w:t>This video demonstrates</w:t>
      </w:r>
      <w:r w:rsidR="006274A3">
        <w:rPr>
          <w:rFonts w:ascii="Helvetica" w:hAnsi="Helvetica" w:cs="Helvetica"/>
          <w:color w:val="000000"/>
          <w:shd w:val="clear" w:color="auto" w:fill="FFFFFF"/>
        </w:rPr>
        <w:t xml:space="preserve"> a simple experiment for measuring concentration that touches on many core chemistry concepts such as particle theory, colour, spectroscopy, </w:t>
      </w:r>
      <w:proofErr w:type="spellStart"/>
      <w:r w:rsidR="006274A3">
        <w:rPr>
          <w:rFonts w:ascii="Helvetica" w:hAnsi="Helvetica" w:cs="Helvetica"/>
          <w:color w:val="000000"/>
          <w:shd w:val="clear" w:color="auto" w:fill="FFFFFF"/>
        </w:rPr>
        <w:t>colorimetry</w:t>
      </w:r>
      <w:proofErr w:type="spellEnd"/>
      <w:r w:rsidR="006274A3">
        <w:rPr>
          <w:rFonts w:ascii="Helvetica" w:hAnsi="Helvetica" w:cs="Helvetica"/>
          <w:color w:val="000000"/>
          <w:shd w:val="clear" w:color="auto" w:fill="FFFFFF"/>
        </w:rPr>
        <w:t>, dilutions and concentrations. This simple activity</w:t>
      </w:r>
      <w:r w:rsidR="00BB513D">
        <w:rPr>
          <w:rFonts w:ascii="Helvetica" w:hAnsi="Helvetica" w:cs="Helvetica"/>
          <w:color w:val="000000"/>
          <w:shd w:val="clear" w:color="auto" w:fill="FFFFFF"/>
        </w:rPr>
        <w:t xml:space="preserve"> </w:t>
      </w:r>
      <w:r w:rsidR="006274A3">
        <w:rPr>
          <w:rFonts w:ascii="Helvetica" w:hAnsi="Helvetica" w:cs="Helvetica"/>
          <w:color w:val="000000"/>
          <w:shd w:val="clear" w:color="auto" w:fill="FFFFFF"/>
        </w:rPr>
        <w:t>can be set for learners to try at home with a responsible adult or used as a hands-on classroom experiment or demonstration. This resource explains how it can also b</w:t>
      </w:r>
      <w:r w:rsidR="00BB513D">
        <w:rPr>
          <w:rFonts w:ascii="Helvetica" w:hAnsi="Helvetica" w:cs="Helvetica"/>
          <w:color w:val="000000"/>
          <w:shd w:val="clear" w:color="auto" w:fill="FFFFFF"/>
        </w:rPr>
        <w:t>e adapted for teaching the Beer–</w:t>
      </w:r>
      <w:r w:rsidR="006274A3">
        <w:rPr>
          <w:rFonts w:ascii="Helvetica" w:hAnsi="Helvetica" w:cs="Helvetica"/>
          <w:color w:val="000000"/>
          <w:shd w:val="clear" w:color="auto" w:fill="FFFFFF"/>
        </w:rPr>
        <w:t>Lambert law.</w:t>
      </w:r>
    </w:p>
    <w:p w14:paraId="43336EC4" w14:textId="77777777" w:rsidR="006274A3" w:rsidRPr="00C80FA5" w:rsidRDefault="006274A3" w:rsidP="006274A3">
      <w:pPr>
        <w:pStyle w:val="Heading3"/>
      </w:pPr>
      <w:r w:rsidRPr="00C80FA5">
        <w:t>Equipment list</w:t>
      </w:r>
    </w:p>
    <w:p w14:paraId="272D2155" w14:textId="77777777" w:rsidR="006274A3" w:rsidRPr="00402058" w:rsidRDefault="006274A3" w:rsidP="006274A3">
      <w:pPr>
        <w:pStyle w:val="Bullets"/>
        <w:rPr>
          <w:lang w:eastAsia="en-GB"/>
        </w:rPr>
      </w:pPr>
      <w:r w:rsidRPr="00402058">
        <w:rPr>
          <w:lang w:eastAsia="en-GB"/>
        </w:rPr>
        <w:t>A small torch</w:t>
      </w:r>
    </w:p>
    <w:p w14:paraId="09648257" w14:textId="77777777" w:rsidR="006274A3" w:rsidRPr="00402058" w:rsidRDefault="006274A3" w:rsidP="006274A3">
      <w:pPr>
        <w:pStyle w:val="Bullets"/>
        <w:rPr>
          <w:lang w:eastAsia="en-GB"/>
        </w:rPr>
      </w:pPr>
      <w:r w:rsidRPr="00402058">
        <w:rPr>
          <w:lang w:eastAsia="en-GB"/>
        </w:rPr>
        <w:t>A smartphone</w:t>
      </w:r>
    </w:p>
    <w:p w14:paraId="6FE8E984" w14:textId="77777777" w:rsidR="006274A3" w:rsidRPr="00402058" w:rsidRDefault="006274A3" w:rsidP="006274A3">
      <w:pPr>
        <w:pStyle w:val="Bullets"/>
        <w:rPr>
          <w:lang w:eastAsia="en-GB"/>
        </w:rPr>
      </w:pPr>
      <w:r w:rsidRPr="00402058">
        <w:rPr>
          <w:lang w:eastAsia="en-GB"/>
        </w:rPr>
        <w:t>Some identical drinking glasses</w:t>
      </w:r>
    </w:p>
    <w:p w14:paraId="555369B5" w14:textId="0068F16F" w:rsidR="006274A3" w:rsidRPr="00402058" w:rsidRDefault="006274A3" w:rsidP="006274A3">
      <w:pPr>
        <w:pStyle w:val="Bullets"/>
        <w:rPr>
          <w:lang w:eastAsia="en-GB"/>
        </w:rPr>
      </w:pPr>
      <w:r w:rsidRPr="57B7AE3C">
        <w:rPr>
          <w:lang w:eastAsia="en-GB"/>
        </w:rPr>
        <w:t xml:space="preserve">Fruit </w:t>
      </w:r>
      <w:r w:rsidR="16DEF908" w:rsidRPr="57B7AE3C">
        <w:rPr>
          <w:lang w:eastAsia="en-GB"/>
        </w:rPr>
        <w:t xml:space="preserve">squash </w:t>
      </w:r>
      <w:r w:rsidRPr="57B7AE3C">
        <w:rPr>
          <w:lang w:eastAsia="en-GB"/>
        </w:rPr>
        <w:t>(blackcurrant works best)</w:t>
      </w:r>
    </w:p>
    <w:p w14:paraId="7C0B2F39" w14:textId="77777777" w:rsidR="006274A3" w:rsidRPr="00402058" w:rsidRDefault="006274A3" w:rsidP="006274A3">
      <w:pPr>
        <w:pStyle w:val="Bullets"/>
        <w:rPr>
          <w:lang w:eastAsia="en-GB"/>
        </w:rPr>
      </w:pPr>
      <w:r w:rsidRPr="00402058">
        <w:rPr>
          <w:lang w:eastAsia="en-GB"/>
        </w:rPr>
        <w:t>Water</w:t>
      </w:r>
    </w:p>
    <w:p w14:paraId="541FA22E" w14:textId="35EA6A8D" w:rsidR="006274A3" w:rsidRPr="00402058" w:rsidRDefault="006274A3" w:rsidP="006274A3">
      <w:pPr>
        <w:pStyle w:val="Bullets"/>
        <w:rPr>
          <w:lang w:eastAsia="en-GB"/>
        </w:rPr>
      </w:pPr>
      <w:r w:rsidRPr="57B7AE3C">
        <w:rPr>
          <w:lang w:eastAsia="en-GB"/>
        </w:rPr>
        <w:t xml:space="preserve">Something for measuring </w:t>
      </w:r>
      <w:proofErr w:type="spellStart"/>
      <w:r w:rsidRPr="57B7AE3C">
        <w:rPr>
          <w:lang w:eastAsia="en-GB"/>
        </w:rPr>
        <w:t>eg</w:t>
      </w:r>
      <w:proofErr w:type="spellEnd"/>
      <w:r w:rsidR="09065F26" w:rsidRPr="57B7AE3C">
        <w:rPr>
          <w:lang w:eastAsia="en-GB"/>
        </w:rPr>
        <w:t>,</w:t>
      </w:r>
      <w:r w:rsidRPr="57B7AE3C">
        <w:rPr>
          <w:lang w:eastAsia="en-GB"/>
        </w:rPr>
        <w:t xml:space="preserve"> a graduated cylinder/cooking jug</w:t>
      </w:r>
    </w:p>
    <w:p w14:paraId="5C9D9DF2" w14:textId="77777777" w:rsidR="006274A3" w:rsidRPr="00402058" w:rsidRDefault="006274A3" w:rsidP="006274A3">
      <w:pPr>
        <w:pStyle w:val="Bullets"/>
        <w:rPr>
          <w:lang w:eastAsia="en-GB"/>
        </w:rPr>
      </w:pPr>
      <w:r w:rsidRPr="00402058">
        <w:rPr>
          <w:lang w:eastAsia="en-GB"/>
        </w:rPr>
        <w:t>A spoon</w:t>
      </w:r>
    </w:p>
    <w:p w14:paraId="25C12196" w14:textId="700A0F53" w:rsidR="006274A3" w:rsidRPr="00402058" w:rsidRDefault="006274A3" w:rsidP="006274A3">
      <w:pPr>
        <w:pStyle w:val="Bullets"/>
        <w:rPr>
          <w:lang w:eastAsia="en-GB"/>
        </w:rPr>
      </w:pPr>
      <w:r w:rsidRPr="57B7AE3C">
        <w:rPr>
          <w:lang w:eastAsia="en-GB"/>
        </w:rPr>
        <w:t>A green filter (</w:t>
      </w:r>
      <w:proofErr w:type="spellStart"/>
      <w:r w:rsidR="1151C950" w:rsidRPr="57B7AE3C">
        <w:rPr>
          <w:lang w:eastAsia="en-GB"/>
        </w:rPr>
        <w:t>eg</w:t>
      </w:r>
      <w:proofErr w:type="spellEnd"/>
      <w:r w:rsidR="1151C950" w:rsidRPr="57B7AE3C">
        <w:rPr>
          <w:lang w:eastAsia="en-GB"/>
        </w:rPr>
        <w:t xml:space="preserve">, </w:t>
      </w:r>
      <w:r w:rsidRPr="57B7AE3C">
        <w:rPr>
          <w:lang w:eastAsia="en-GB"/>
        </w:rPr>
        <w:t>sweet wrapper or drinks bottle)</w:t>
      </w:r>
    </w:p>
    <w:p w14:paraId="7D3234B5" w14:textId="77777777" w:rsidR="006274A3" w:rsidRPr="00C80FA5" w:rsidRDefault="006274A3" w:rsidP="006274A3">
      <w:pPr>
        <w:pStyle w:val="Heading3"/>
      </w:pPr>
      <w:r w:rsidRPr="00C80FA5">
        <w:t>Health and safety</w:t>
      </w:r>
    </w:p>
    <w:p w14:paraId="5826E4F3" w14:textId="47AA3449" w:rsidR="0024620F" w:rsidRDefault="006274A3" w:rsidP="006274A3">
      <w:pPr>
        <w:rPr>
          <w:lang w:eastAsia="en-GB"/>
        </w:rPr>
      </w:pPr>
      <w:r w:rsidRPr="57B7AE3C">
        <w:rPr>
          <w:lang w:eastAsia="en-GB"/>
        </w:rPr>
        <w:t>If your green light filte</w:t>
      </w:r>
      <w:r w:rsidR="00E521F5" w:rsidRPr="57B7AE3C">
        <w:rPr>
          <w:lang w:eastAsia="en-GB"/>
        </w:rPr>
        <w:t>r is from a green drinks bottle</w:t>
      </w:r>
      <w:r w:rsidR="3EEB9E95" w:rsidRPr="57B7AE3C">
        <w:rPr>
          <w:lang w:eastAsia="en-GB"/>
        </w:rPr>
        <w:t>,</w:t>
      </w:r>
      <w:r w:rsidRPr="57B7AE3C">
        <w:rPr>
          <w:lang w:eastAsia="en-GB"/>
        </w:rPr>
        <w:t xml:space="preserve"> please make sure to be extra careful whe</w:t>
      </w:r>
      <w:r w:rsidR="0024620F">
        <w:rPr>
          <w:lang w:eastAsia="en-GB"/>
        </w:rPr>
        <w:t>n cutting it out with scissors.</w:t>
      </w:r>
    </w:p>
    <w:p w14:paraId="12BB2762" w14:textId="201B7366" w:rsidR="006274A3" w:rsidRPr="00402058" w:rsidRDefault="006274A3" w:rsidP="006274A3">
      <w:pPr>
        <w:rPr>
          <w:lang w:eastAsia="en-GB"/>
        </w:rPr>
      </w:pPr>
      <w:r w:rsidRPr="57B7AE3C">
        <w:rPr>
          <w:lang w:eastAsia="en-GB"/>
        </w:rPr>
        <w:t>Always ask for the permission of the smartphone owner before downloading any apps.</w:t>
      </w:r>
    </w:p>
    <w:p w14:paraId="30E28CCE" w14:textId="77777777" w:rsidR="006274A3" w:rsidRPr="00C80FA5" w:rsidRDefault="006274A3" w:rsidP="006274A3">
      <w:pPr>
        <w:pStyle w:val="Heading3"/>
      </w:pPr>
      <w:r w:rsidRPr="00C80FA5">
        <w:t>Activity instructions</w:t>
      </w:r>
    </w:p>
    <w:p w14:paraId="7E408922" w14:textId="407A1512" w:rsidR="006274A3" w:rsidRPr="00402058" w:rsidRDefault="006274A3" w:rsidP="006274A3">
      <w:pPr>
        <w:pStyle w:val="Numberedlist"/>
        <w:rPr>
          <w:lang w:eastAsia="en-GB"/>
        </w:rPr>
      </w:pPr>
      <w:r w:rsidRPr="57B7AE3C">
        <w:rPr>
          <w:lang w:eastAsia="en-GB"/>
        </w:rPr>
        <w:t xml:space="preserve">Download a light meter app to the smartphone. There are many free versions available across all platforms. They are sometimes called a </w:t>
      </w:r>
      <w:r w:rsidR="65320AAA" w:rsidRPr="57B7AE3C">
        <w:rPr>
          <w:lang w:eastAsia="en-GB"/>
        </w:rPr>
        <w:t>‘</w:t>
      </w:r>
      <w:r w:rsidR="00BB513D">
        <w:rPr>
          <w:lang w:eastAsia="en-GB"/>
        </w:rPr>
        <w:t xml:space="preserve">lux meter’ because they </w:t>
      </w:r>
      <w:r w:rsidRPr="57B7AE3C">
        <w:rPr>
          <w:lang w:eastAsia="en-GB"/>
        </w:rPr>
        <w:t>provide</w:t>
      </w:r>
      <w:r w:rsidR="00BB513D">
        <w:rPr>
          <w:lang w:eastAsia="en-GB"/>
        </w:rPr>
        <w:t xml:space="preserve"> </w:t>
      </w:r>
      <w:r w:rsidRPr="57B7AE3C">
        <w:rPr>
          <w:lang w:eastAsia="en-GB"/>
        </w:rPr>
        <w:t xml:space="preserve">us with </w:t>
      </w:r>
      <w:r w:rsidR="1AC85B1B" w:rsidRPr="57B7AE3C">
        <w:rPr>
          <w:lang w:eastAsia="en-GB"/>
        </w:rPr>
        <w:t>‘</w:t>
      </w:r>
      <w:r w:rsidRPr="57B7AE3C">
        <w:rPr>
          <w:lang w:eastAsia="en-GB"/>
        </w:rPr>
        <w:t>lux numbers’.</w:t>
      </w:r>
    </w:p>
    <w:p w14:paraId="0CD9D670" w14:textId="14B51849" w:rsidR="006274A3" w:rsidRPr="00402058" w:rsidRDefault="006274A3" w:rsidP="006274A3">
      <w:pPr>
        <w:pStyle w:val="Numberedlist"/>
        <w:rPr>
          <w:lang w:eastAsia="en-GB"/>
        </w:rPr>
      </w:pPr>
      <w:r w:rsidRPr="57B7AE3C">
        <w:rPr>
          <w:lang w:eastAsia="en-GB"/>
        </w:rPr>
        <w:t>Prepare your green light filter. You can get this from a sweet wrapper or by cutting it out of a used drinks bottle.</w:t>
      </w:r>
    </w:p>
    <w:p w14:paraId="1C044E8C" w14:textId="36506DF9" w:rsidR="006274A3" w:rsidRPr="00402058" w:rsidRDefault="006274A3" w:rsidP="006274A3">
      <w:pPr>
        <w:pStyle w:val="Numberedlist"/>
        <w:rPr>
          <w:lang w:eastAsia="en-GB"/>
        </w:rPr>
      </w:pPr>
      <w:r w:rsidRPr="57B7AE3C">
        <w:rPr>
          <w:lang w:eastAsia="en-GB"/>
        </w:rPr>
        <w:t>Using the measuring jug, measure an equal amount of water into each glass. It doesn’t matter how much you use as long as it’s the same amount in each glass. 100 ml should be sufficient.</w:t>
      </w:r>
    </w:p>
    <w:p w14:paraId="6C460BC0" w14:textId="248D5450" w:rsidR="006274A3" w:rsidRPr="00402058" w:rsidRDefault="006274A3" w:rsidP="006274A3">
      <w:pPr>
        <w:pStyle w:val="Numberedlist"/>
        <w:rPr>
          <w:lang w:eastAsia="en-GB"/>
        </w:rPr>
      </w:pPr>
      <w:r w:rsidRPr="57B7AE3C">
        <w:rPr>
          <w:lang w:eastAsia="en-GB"/>
        </w:rPr>
        <w:t xml:space="preserve">Add a measured amount (1 ml, 5 ml, 10 ml) of blackcurrant </w:t>
      </w:r>
      <w:r w:rsidR="4C14436C" w:rsidRPr="57B7AE3C">
        <w:rPr>
          <w:lang w:eastAsia="en-GB"/>
        </w:rPr>
        <w:t xml:space="preserve">squash </w:t>
      </w:r>
      <w:r w:rsidRPr="57B7AE3C">
        <w:rPr>
          <w:lang w:eastAsia="en-GB"/>
        </w:rPr>
        <w:t>to each glass to create your standards (see table below)</w:t>
      </w:r>
      <w:r w:rsidR="65DC0297" w:rsidRPr="57B7AE3C">
        <w:rPr>
          <w:lang w:eastAsia="en-GB"/>
        </w:rPr>
        <w:t>.</w:t>
      </w:r>
    </w:p>
    <w:p w14:paraId="563DBC1C" w14:textId="77777777" w:rsidR="006274A3" w:rsidRPr="00402058" w:rsidRDefault="006274A3" w:rsidP="006274A3">
      <w:pPr>
        <w:pStyle w:val="Numberedlist"/>
        <w:rPr>
          <w:lang w:eastAsia="en-GB"/>
        </w:rPr>
      </w:pPr>
      <w:r w:rsidRPr="00402058">
        <w:rPr>
          <w:lang w:eastAsia="en-GB"/>
        </w:rPr>
        <w:t>Ensure each drink is thoroughly mixed using the spoon. </w:t>
      </w:r>
    </w:p>
    <w:p w14:paraId="196665A7" w14:textId="00E25364" w:rsidR="006274A3" w:rsidRPr="00402058" w:rsidRDefault="006274A3" w:rsidP="006274A3">
      <w:pPr>
        <w:pStyle w:val="Numberedlist"/>
        <w:rPr>
          <w:lang w:eastAsia="en-GB"/>
        </w:rPr>
      </w:pPr>
      <w:r w:rsidRPr="57B7AE3C">
        <w:rPr>
          <w:lang w:eastAsia="en-GB"/>
        </w:rPr>
        <w:t xml:space="preserve">Set up the experiment with the torch and green filter on one side of </w:t>
      </w:r>
      <w:r w:rsidR="052B43D9" w:rsidRPr="57B7AE3C">
        <w:rPr>
          <w:lang w:eastAsia="en-GB"/>
        </w:rPr>
        <w:t>one of the</w:t>
      </w:r>
      <w:r w:rsidRPr="57B7AE3C">
        <w:rPr>
          <w:lang w:eastAsia="en-GB"/>
        </w:rPr>
        <w:t xml:space="preserve"> glass</w:t>
      </w:r>
      <w:r w:rsidR="18BACB4C" w:rsidRPr="57B7AE3C">
        <w:rPr>
          <w:lang w:eastAsia="en-GB"/>
        </w:rPr>
        <w:t>es</w:t>
      </w:r>
      <w:r w:rsidRPr="57B7AE3C">
        <w:rPr>
          <w:lang w:eastAsia="en-GB"/>
        </w:rPr>
        <w:t xml:space="preserve"> and the smartphone on the other side. Ensure the camera is directly across from the torch. Consistency between each sample is very important to achieve the best possible straight-line graph.</w:t>
      </w:r>
    </w:p>
    <w:p w14:paraId="0856653A" w14:textId="50C0E6AF" w:rsidR="006274A3" w:rsidRPr="00402058" w:rsidRDefault="006274A3" w:rsidP="006274A3">
      <w:pPr>
        <w:pStyle w:val="Numberedlist"/>
        <w:rPr>
          <w:lang w:eastAsia="en-GB"/>
        </w:rPr>
      </w:pPr>
      <w:r w:rsidRPr="57B7AE3C">
        <w:rPr>
          <w:lang w:eastAsia="en-GB"/>
        </w:rPr>
        <w:t>Repeat the experiment for each drink, recording the lux number each time.</w:t>
      </w:r>
    </w:p>
    <w:p w14:paraId="6DFCE80C" w14:textId="0BFF1CE0" w:rsidR="006E70D4" w:rsidRDefault="006274A3" w:rsidP="006646E6">
      <w:pPr>
        <w:pStyle w:val="Numberedlist"/>
        <w:rPr>
          <w:lang w:eastAsia="en-GB"/>
        </w:rPr>
      </w:pPr>
      <w:r w:rsidRPr="57B7AE3C">
        <w:rPr>
          <w:lang w:eastAsia="en-GB"/>
        </w:rPr>
        <w:t>Observe that the lux number is inverse to the concentration, so the higher the concentration the lower the lux number.</w:t>
      </w:r>
    </w:p>
    <w:p w14:paraId="55038096" w14:textId="77777777" w:rsidR="006E70D4" w:rsidRDefault="006E70D4">
      <w:pPr>
        <w:keepLines w:val="0"/>
        <w:spacing w:before="200" w:after="0"/>
        <w:rPr>
          <w:lang w:eastAsia="en-GB"/>
        </w:rPr>
      </w:pPr>
      <w:r>
        <w:rPr>
          <w:lang w:eastAsia="en-GB"/>
        </w:rPr>
        <w:br w:type="page"/>
      </w:r>
    </w:p>
    <w:p w14:paraId="50A95090" w14:textId="2FE5974E" w:rsidR="006274A3" w:rsidRPr="00C80FA5" w:rsidRDefault="00221F1D" w:rsidP="006274A3">
      <w:pPr>
        <w:pStyle w:val="Heading2"/>
      </w:pPr>
      <w:r>
        <w:lastRenderedPageBreak/>
        <w:t>The Beer</w:t>
      </w:r>
      <w:r w:rsidR="00BB513D">
        <w:t>–</w:t>
      </w:r>
      <w:r>
        <w:t>Lambert law</w:t>
      </w:r>
    </w:p>
    <w:p w14:paraId="0A847B75" w14:textId="3C5FE13F" w:rsidR="006274A3" w:rsidRDefault="006274A3" w:rsidP="00E521F5">
      <w:pPr>
        <w:rPr>
          <w:lang w:eastAsia="en-GB"/>
        </w:rPr>
      </w:pPr>
      <w:r w:rsidRPr="57B7AE3C">
        <w:rPr>
          <w:lang w:eastAsia="en-GB"/>
        </w:rPr>
        <w:t xml:space="preserve">Light absorption occurs when the contents of the </w:t>
      </w:r>
      <w:r w:rsidR="7733D649" w:rsidRPr="57B7AE3C">
        <w:rPr>
          <w:lang w:eastAsia="en-GB"/>
        </w:rPr>
        <w:t>squash</w:t>
      </w:r>
      <w:r w:rsidR="7FD3A086" w:rsidRPr="57B7AE3C">
        <w:rPr>
          <w:lang w:eastAsia="en-GB"/>
        </w:rPr>
        <w:t xml:space="preserve"> </w:t>
      </w:r>
      <w:r w:rsidRPr="57B7AE3C">
        <w:rPr>
          <w:lang w:eastAsia="en-GB"/>
        </w:rPr>
        <w:t xml:space="preserve">drink take up the energy of a photon of light, which reduces the transmission of the light as it passes through the sample. </w:t>
      </w:r>
    </w:p>
    <w:p w14:paraId="34BC2ACC" w14:textId="4BAC0B0A" w:rsidR="00220E27" w:rsidRDefault="006274A3" w:rsidP="00220E27">
      <w:pPr>
        <w:rPr>
          <w:lang w:eastAsia="en-GB"/>
        </w:rPr>
      </w:pPr>
      <w:r>
        <w:rPr>
          <w:lang w:eastAsia="en-GB"/>
        </w:rPr>
        <w:t xml:space="preserve">The lux number that is recorded for each sample in our experiment is directly proportional to the transmittance. </w:t>
      </w:r>
      <w:r w:rsidR="00220E27">
        <w:rPr>
          <w:lang w:eastAsia="en-GB"/>
        </w:rPr>
        <w:t xml:space="preserve">The length of the sample holder (l) must remain constant for all samples. </w:t>
      </w:r>
    </w:p>
    <w:p w14:paraId="46EBC1CA" w14:textId="22306D73" w:rsidR="006E70D4" w:rsidRPr="006E70D4" w:rsidRDefault="00537CBF" w:rsidP="006E70D4">
      <w:pPr>
        <w:ind w:firstLine="720"/>
        <w:jc w:val="center"/>
        <w:rPr>
          <w:i/>
          <w:lang w:eastAsia="en-GB"/>
        </w:rPr>
      </w:pPr>
      <w:r>
        <w:rPr>
          <w:noProof/>
          <w:lang w:eastAsia="en-GB"/>
        </w:rPr>
        <mc:AlternateContent>
          <mc:Choice Requires="wps">
            <w:drawing>
              <wp:anchor distT="45720" distB="45720" distL="114300" distR="114300" simplePos="0" relativeHeight="251675648" behindDoc="0" locked="0" layoutInCell="1" allowOverlap="1" wp14:anchorId="239CA21C" wp14:editId="4B585DBF">
                <wp:simplePos x="0" y="0"/>
                <wp:positionH relativeFrom="margin">
                  <wp:posOffset>3140022</wp:posOffset>
                </wp:positionH>
                <wp:positionV relativeFrom="paragraph">
                  <wp:posOffset>2117090</wp:posOffset>
                </wp:positionV>
                <wp:extent cx="1584960" cy="1997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99785"/>
                        </a:xfrm>
                        <a:prstGeom prst="rect">
                          <a:avLst/>
                        </a:prstGeom>
                        <a:solidFill>
                          <a:srgbClr val="FFFFFF"/>
                        </a:solidFill>
                        <a:ln w="9525">
                          <a:noFill/>
                          <a:miter lim="800000"/>
                          <a:headEnd/>
                          <a:tailEnd/>
                        </a:ln>
                      </wps:spPr>
                      <wps:txbx>
                        <w:txbxContent>
                          <w:p w14:paraId="3E079B37" w14:textId="414CBA7D" w:rsidR="00537CBF" w:rsidRPr="00537CBF" w:rsidRDefault="00537CBF" w:rsidP="005D0267">
                            <w:pPr>
                              <w:jc w:val="right"/>
                              <w:rPr>
                                <w:rFonts w:ascii="Segoe UI" w:hAnsi="Segoe UI" w:cs="Segoe UI"/>
                                <w:sz w:val="12"/>
                                <w:szCs w:val="12"/>
                              </w:rPr>
                            </w:pPr>
                            <w:r w:rsidRPr="00537CBF">
                              <w:rPr>
                                <w:rFonts w:ascii="Segoe UI" w:hAnsi="Segoe UI" w:cs="Segoe UI"/>
                                <w:sz w:val="12"/>
                                <w:szCs w:val="12"/>
                              </w:rPr>
                              <w:t>Image © Royal Society of Chemistry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CA21C" id="_x0000_t202" coordsize="21600,21600" o:spt="202" path="m,l,21600r21600,l21600,xe">
                <v:stroke joinstyle="miter"/>
                <v:path gradientshapeok="t" o:connecttype="rect"/>
              </v:shapetype>
              <v:shape id="Text Box 2" o:spid="_x0000_s1026" type="#_x0000_t202" style="position:absolute;left:0;text-align:left;margin-left:247.25pt;margin-top:166.7pt;width:124.8pt;height:15.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" stroked="f">
                <v:textbox>
                  <w:txbxContent>
                    <w:p w14:paraId="3E079B37" w14:textId="414CBA7D" w:rsidR="00537CBF" w:rsidRPr="00537CBF" w:rsidRDefault="00537CBF" w:rsidP="005D0267">
                      <w:pPr>
                        <w:jc w:val="right"/>
                        <w:rPr>
                          <w:rFonts w:ascii="Segoe UI" w:hAnsi="Segoe UI" w:cs="Segoe UI"/>
                          <w:sz w:val="12"/>
                          <w:szCs w:val="12"/>
                        </w:rPr>
                      </w:pPr>
                      <w:r w:rsidRPr="00537CBF">
                        <w:rPr>
                          <w:rFonts w:ascii="Segoe UI" w:hAnsi="Segoe UI" w:cs="Segoe UI"/>
                          <w:sz w:val="12"/>
                          <w:szCs w:val="12"/>
                        </w:rPr>
                        <w:t>Image © Royal Society of Chemistry</w:t>
                      </w:r>
                    </w:p>
                  </w:txbxContent>
                </v:textbox>
                <w10:wrap anchorx="margin"/>
              </v:shape>
            </w:pict>
          </mc:Fallback>
        </mc:AlternateContent>
      </w:r>
      <w:r w:rsidR="006E70D4">
        <w:rPr>
          <w:noProof/>
          <w:lang w:eastAsia="en-GB"/>
        </w:rPr>
        <w:drawing>
          <wp:inline distT="0" distB="0" distL="0" distR="0" wp14:anchorId="5FDB74C8" wp14:editId="6AADC7C4">
            <wp:extent cx="3402965" cy="227012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3402965" cy="2270125"/>
                    </a:xfrm>
                    <a:prstGeom prst="rect">
                      <a:avLst/>
                    </a:prstGeom>
                  </pic:spPr>
                </pic:pic>
              </a:graphicData>
            </a:graphic>
          </wp:inline>
        </w:drawing>
      </w:r>
    </w:p>
    <w:p w14:paraId="20C9750D" w14:textId="77777777" w:rsidR="005D0267" w:rsidRDefault="005D0267" w:rsidP="006E70D4">
      <w:pPr>
        <w:rPr>
          <w:lang w:eastAsia="en-GB"/>
        </w:rPr>
      </w:pPr>
    </w:p>
    <w:p w14:paraId="79CAEC08" w14:textId="7F920B53" w:rsidR="006E70D4" w:rsidRDefault="00220E27" w:rsidP="006E70D4">
      <w:pPr>
        <w:rPr>
          <w:lang w:eastAsia="en-GB"/>
        </w:rPr>
      </w:pPr>
      <w:r w:rsidRPr="57B7AE3C">
        <w:rPr>
          <w:lang w:eastAsia="en-GB"/>
        </w:rPr>
        <w:t>T</w:t>
      </w:r>
      <w:r w:rsidR="0024620F">
        <w:rPr>
          <w:lang w:eastAsia="en-GB"/>
        </w:rPr>
        <w:t>he following</w:t>
      </w:r>
      <w:r w:rsidR="006274A3" w:rsidRPr="57B7AE3C">
        <w:rPr>
          <w:lang w:eastAsia="en-GB"/>
        </w:rPr>
        <w:t xml:space="preserve"> equation will give you </w:t>
      </w:r>
      <w:r w:rsidR="0024620F">
        <w:rPr>
          <w:lang w:eastAsia="en-GB"/>
        </w:rPr>
        <w:t>the percentage of transmitted light (</w:t>
      </w:r>
      <w:r w:rsidR="006274A3" w:rsidRPr="57B7AE3C">
        <w:rPr>
          <w:lang w:eastAsia="en-GB"/>
        </w:rPr>
        <w:t>%T</w:t>
      </w:r>
      <w:r w:rsidR="0024620F">
        <w:rPr>
          <w:lang w:eastAsia="en-GB"/>
        </w:rPr>
        <w:t>)</w:t>
      </w:r>
      <w:r w:rsidR="006274A3" w:rsidRPr="57B7AE3C">
        <w:rPr>
          <w:lang w:eastAsia="en-GB"/>
        </w:rPr>
        <w:t xml:space="preserve"> for each sample</w:t>
      </w:r>
      <w:r w:rsidR="005D59BD" w:rsidRPr="57B7AE3C">
        <w:rPr>
          <w:lang w:eastAsia="en-GB"/>
        </w:rPr>
        <w:t xml:space="preserve"> (A, B and C</w:t>
      </w:r>
      <w:r w:rsidR="006E70D4">
        <w:rPr>
          <w:lang w:eastAsia="en-GB"/>
        </w:rPr>
        <w:t>):</w:t>
      </w:r>
    </w:p>
    <w:p w14:paraId="295F246E" w14:textId="2C8164BC" w:rsidR="006E70D4" w:rsidRPr="006E70D4" w:rsidRDefault="006E70D4" w:rsidP="006E70D4">
      <w:pPr>
        <w:ind w:left="2880"/>
        <w:rPr>
          <w:lang w:eastAsia="en-GB"/>
        </w:rPr>
      </w:pPr>
      <w:r>
        <w:rPr>
          <w:noProof/>
          <w:lang w:eastAsia="en-GB"/>
        </w:rPr>
        <mc:AlternateContent>
          <mc:Choice Requires="wps">
            <w:drawing>
              <wp:inline distT="0" distB="0" distL="0" distR="0" wp14:anchorId="6ED12F42" wp14:editId="6A0EF0BC">
                <wp:extent cx="2727960" cy="541020"/>
                <wp:effectExtent l="0" t="0" r="0" b="0"/>
                <wp:docPr id="228054847" name="TextBox 2">
                  <a:extLst xmlns:a="http://schemas.openxmlformats.org/drawingml/2006/main">
                    <a:ext uri="{FF2B5EF4-FFF2-40B4-BE49-F238E27FC236}">
                      <a16:creationId xmlns:a16="http://schemas.microsoft.com/office/drawing/2014/main" id="{EBA551A9-7F75-9C46-8EF3-38256584E00B}"/>
                    </a:ext>
                  </a:extLst>
                </wp:docPr>
                <wp:cNvGraphicFramePr/>
                <a:graphic xmlns:a="http://schemas.openxmlformats.org/drawingml/2006/main">
                  <a:graphicData uri="http://schemas.microsoft.com/office/word/2010/wordprocessingShape">
                    <wps:wsp>
                      <wps:cNvSpPr txBox="1"/>
                      <wps:spPr>
                        <a:xfrm>
                          <a:off x="0" y="0"/>
                          <a:ext cx="2727960" cy="541020"/>
                        </a:xfrm>
                        <a:prstGeom prst="rect">
                          <a:avLst/>
                        </a:prstGeom>
                        <a:noFill/>
                      </wps:spPr>
                      <wps:txbx>
                        <w:txbxContent>
                          <w:p w14:paraId="3AFF25A9" w14:textId="77777777" w:rsidR="006E70D4" w:rsidRPr="00A67EF2" w:rsidRDefault="006E70D4" w:rsidP="006E70D4">
                            <w:pPr>
                              <w:jc w:val="center"/>
                              <w:rPr>
                                <w:sz w:val="24"/>
                                <w:szCs w:val="24"/>
                              </w:rPr>
                            </w:pPr>
                            <m:oMathPara>
                              <m:oMathParaPr>
                                <m:jc m:val="centerGroup"/>
                              </m:oMathParaPr>
                              <m:oMath>
                                <m:r>
                                  <w:rPr>
                                    <w:rFonts w:ascii="Cambria Math" w:hAnsi="Cambria Math" w:cstheme="minorBidi"/>
                                    <w:color w:val="000000" w:themeColor="text1"/>
                                    <w:kern w:val="24"/>
                                    <w:sz w:val="24"/>
                                    <w:szCs w:val="24"/>
                                  </w:rPr>
                                  <m:t>%T= </m:t>
                                </m:r>
                                <m:f>
                                  <m:fPr>
                                    <m:ctrlPr>
                                      <w:rPr>
                                        <w:rFonts w:ascii="Cambria Math" w:eastAsiaTheme="minorEastAsia" w:hAnsi="Cambria Math" w:cstheme="minorBidi"/>
                                        <w:i/>
                                        <w:iCs/>
                                        <w:color w:val="000000" w:themeColor="text1"/>
                                        <w:kern w:val="24"/>
                                        <w:sz w:val="24"/>
                                        <w:szCs w:val="24"/>
                                      </w:rPr>
                                    </m:ctrlPr>
                                  </m:fPr>
                                  <m:num>
                                    <m:r>
                                      <w:rPr>
                                        <w:rFonts w:ascii="Cambria Math" w:hAnsi="Cambria Math" w:cstheme="minorBidi"/>
                                        <w:color w:val="000000" w:themeColor="text1"/>
                                        <w:kern w:val="24"/>
                                        <w:sz w:val="24"/>
                                        <w:szCs w:val="24"/>
                                      </w:rPr>
                                      <m:t>Transmitted Light (I)</m:t>
                                    </m:r>
                                  </m:num>
                                  <m:den>
                                    <m:r>
                                      <w:rPr>
                                        <w:rFonts w:ascii="Cambria Math" w:hAnsi="Cambria Math" w:cstheme="minorBidi"/>
                                        <w:color w:val="000000" w:themeColor="text1"/>
                                        <w:kern w:val="24"/>
                                        <w:sz w:val="24"/>
                                        <w:szCs w:val="24"/>
                                      </w:rPr>
                                      <m:t>Incident Light (</m:t>
                                    </m:r>
                                    <m:sSub>
                                      <m:sSubPr>
                                        <m:ctrlPr>
                                          <w:rPr>
                                            <w:rFonts w:ascii="Cambria Math" w:eastAsiaTheme="minorEastAsia" w:hAnsi="Cambria Math" w:cstheme="minorBidi"/>
                                            <w:i/>
                                            <w:iCs/>
                                            <w:color w:val="000000" w:themeColor="text1"/>
                                            <w:kern w:val="24"/>
                                            <w:sz w:val="24"/>
                                            <w:szCs w:val="24"/>
                                          </w:rPr>
                                        </m:ctrlPr>
                                      </m:sSubPr>
                                      <m:e>
                                        <m:r>
                                          <w:rPr>
                                            <w:rFonts w:ascii="Cambria Math" w:hAnsi="Cambria Math" w:cstheme="minorBidi"/>
                                            <w:color w:val="000000" w:themeColor="text1"/>
                                            <w:kern w:val="24"/>
                                            <w:sz w:val="24"/>
                                            <w:szCs w:val="24"/>
                                          </w:rPr>
                                          <m:t>I</m:t>
                                        </m:r>
                                      </m:e>
                                      <m:sub>
                                        <m:r>
                                          <w:rPr>
                                            <w:rFonts w:ascii="Cambria Math" w:hAnsi="Cambria Math" w:cstheme="minorBidi"/>
                                            <w:color w:val="000000" w:themeColor="text1"/>
                                            <w:kern w:val="24"/>
                                            <w:sz w:val="24"/>
                                            <w:szCs w:val="24"/>
                                          </w:rPr>
                                          <m:t>0</m:t>
                                        </m:r>
                                      </m:sub>
                                    </m:sSub>
                                    <m:r>
                                      <w:rPr>
                                        <w:rFonts w:ascii="Cambria Math" w:hAnsi="Cambria Math" w:cstheme="minorBidi"/>
                                        <w:color w:val="000000" w:themeColor="text1"/>
                                        <w:kern w:val="24"/>
                                        <w:sz w:val="24"/>
                                        <w:szCs w:val="24"/>
                                      </w:rPr>
                                      <m:t>)</m:t>
                                    </m:r>
                                  </m:den>
                                </m:f>
                                <m:r>
                                  <w:rPr>
                                    <w:rFonts w:ascii="Cambria Math" w:hAnsi="Cambria Math" w:cstheme="minorBidi"/>
                                    <w:color w:val="000000" w:themeColor="text1"/>
                                    <w:kern w:val="24"/>
                                    <w:sz w:val="24"/>
                                    <w:szCs w:val="24"/>
                                  </w:rPr>
                                  <m:t> X 100</m:t>
                                </m:r>
                              </m:oMath>
                            </m:oMathPara>
                          </w:p>
                        </w:txbxContent>
                      </wps:txbx>
                      <wps:bodyPr wrap="square" rtlCol="0">
                        <a:noAutofit/>
                      </wps:bodyPr>
                    </wps:wsp>
                  </a:graphicData>
                </a:graphic>
              </wp:inline>
            </w:drawing>
          </mc:Choice>
          <mc:Fallback>
            <w:pict>
              <v:shape w14:anchorId="6ED12F42" id="TextBox 2" o:spid="_x0000_s1027" type="#_x0000_t202" style="width:214.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" filled="f" stroked="f">
                <v:textbox>
                  <w:txbxContent>
                    <w:p w14:paraId="3AFF25A9" w14:textId="77777777" w:rsidR="006E70D4" w:rsidRPr="00A67EF2" w:rsidRDefault="006E70D4" w:rsidP="006E70D4">
                      <w:pPr>
                        <w:jc w:val="center"/>
                        <w:rPr>
                          <w:sz w:val="24"/>
                          <w:szCs w:val="24"/>
                        </w:rPr>
                      </w:pPr>
                      <m:oMathPara>
                        <m:oMathParaPr>
                          <m:jc m:val="centerGroup"/>
                        </m:oMathParaPr>
                        <m:oMath>
                          <m:r>
                            <w:rPr>
                              <w:rFonts w:ascii="Cambria Math" w:hAnsi="Cambria Math" w:cstheme="minorBidi"/>
                              <w:color w:val="000000" w:themeColor="text1"/>
                              <w:kern w:val="24"/>
                              <w:sz w:val="24"/>
                              <w:szCs w:val="24"/>
                            </w:rPr>
                            <m:t>%T= </m:t>
                          </m:r>
                          <m:f>
                            <m:fPr>
                              <m:ctrlPr>
                                <w:rPr>
                                  <w:rFonts w:ascii="Cambria Math" w:eastAsiaTheme="minorEastAsia" w:hAnsi="Cambria Math" w:cstheme="minorBidi"/>
                                  <w:i/>
                                  <w:iCs/>
                                  <w:color w:val="000000" w:themeColor="text1"/>
                                  <w:kern w:val="24"/>
                                  <w:sz w:val="24"/>
                                  <w:szCs w:val="24"/>
                                </w:rPr>
                              </m:ctrlPr>
                            </m:fPr>
                            <m:num>
                              <m:r>
                                <w:rPr>
                                  <w:rFonts w:ascii="Cambria Math" w:hAnsi="Cambria Math" w:cstheme="minorBidi"/>
                                  <w:color w:val="000000" w:themeColor="text1"/>
                                  <w:kern w:val="24"/>
                                  <w:sz w:val="24"/>
                                  <w:szCs w:val="24"/>
                                </w:rPr>
                                <m:t>Transmitted Light (I)</m:t>
                              </m:r>
                            </m:num>
                            <m:den>
                              <m:r>
                                <w:rPr>
                                  <w:rFonts w:ascii="Cambria Math" w:hAnsi="Cambria Math" w:cstheme="minorBidi"/>
                                  <w:color w:val="000000" w:themeColor="text1"/>
                                  <w:kern w:val="24"/>
                                  <w:sz w:val="24"/>
                                  <w:szCs w:val="24"/>
                                </w:rPr>
                                <m:t>Incident Light (</m:t>
                              </m:r>
                              <m:sSub>
                                <m:sSubPr>
                                  <m:ctrlPr>
                                    <w:rPr>
                                      <w:rFonts w:ascii="Cambria Math" w:eastAsiaTheme="minorEastAsia" w:hAnsi="Cambria Math" w:cstheme="minorBidi"/>
                                      <w:i/>
                                      <w:iCs/>
                                      <w:color w:val="000000" w:themeColor="text1"/>
                                      <w:kern w:val="24"/>
                                      <w:sz w:val="24"/>
                                      <w:szCs w:val="24"/>
                                    </w:rPr>
                                  </m:ctrlPr>
                                </m:sSubPr>
                                <m:e>
                                  <m:r>
                                    <w:rPr>
                                      <w:rFonts w:ascii="Cambria Math" w:hAnsi="Cambria Math" w:cstheme="minorBidi"/>
                                      <w:color w:val="000000" w:themeColor="text1"/>
                                      <w:kern w:val="24"/>
                                      <w:sz w:val="24"/>
                                      <w:szCs w:val="24"/>
                                    </w:rPr>
                                    <m:t>I</m:t>
                                  </m:r>
                                </m:e>
                                <m:sub>
                                  <m:r>
                                    <w:rPr>
                                      <w:rFonts w:ascii="Cambria Math" w:hAnsi="Cambria Math" w:cstheme="minorBidi"/>
                                      <w:color w:val="000000" w:themeColor="text1"/>
                                      <w:kern w:val="24"/>
                                      <w:sz w:val="24"/>
                                      <w:szCs w:val="24"/>
                                    </w:rPr>
                                    <m:t>0</m:t>
                                  </m:r>
                                </m:sub>
                              </m:sSub>
                              <m:r>
                                <w:rPr>
                                  <w:rFonts w:ascii="Cambria Math" w:hAnsi="Cambria Math" w:cstheme="minorBidi"/>
                                  <w:color w:val="000000" w:themeColor="text1"/>
                                  <w:kern w:val="24"/>
                                  <w:sz w:val="24"/>
                                  <w:szCs w:val="24"/>
                                </w:rPr>
                                <m:t>)</m:t>
                              </m:r>
                            </m:den>
                          </m:f>
                          <m:r>
                            <w:rPr>
                              <w:rFonts w:ascii="Cambria Math" w:hAnsi="Cambria Math" w:cstheme="minorBidi"/>
                              <w:color w:val="000000" w:themeColor="text1"/>
                              <w:kern w:val="24"/>
                              <w:sz w:val="24"/>
                              <w:szCs w:val="24"/>
                            </w:rPr>
                            <m:t> X 100</m:t>
                          </m:r>
                        </m:oMath>
                      </m:oMathPara>
                    </w:p>
                  </w:txbxContent>
                </v:textbox>
                <w10:anchorlock/>
              </v:shape>
            </w:pict>
          </mc:Fallback>
        </mc:AlternateContent>
      </w:r>
    </w:p>
    <w:p w14:paraId="0538B8F6" w14:textId="451F3F93" w:rsidR="006E70D4" w:rsidRPr="006E70D4" w:rsidRDefault="006E70D4" w:rsidP="006E70D4">
      <w:pPr>
        <w:jc w:val="center"/>
        <w:rPr>
          <w:i/>
          <w:lang w:eastAsia="en-GB"/>
        </w:rPr>
      </w:pPr>
      <w:r w:rsidRPr="006E70D4">
        <w:rPr>
          <w:i/>
          <w:lang w:eastAsia="en-GB"/>
        </w:rPr>
        <w:t xml:space="preserve">Transmitted light = lux number of squash + water </w:t>
      </w:r>
      <w:r w:rsidRPr="0024620F">
        <w:rPr>
          <w:lang w:eastAsia="en-GB"/>
        </w:rPr>
        <w:t>(sample A, B, C</w:t>
      </w:r>
      <w:proofErr w:type="gramStart"/>
      <w:r w:rsidRPr="0024620F">
        <w:rPr>
          <w:lang w:eastAsia="en-GB"/>
        </w:rPr>
        <w:t>)</w:t>
      </w:r>
      <w:proofErr w:type="gramEnd"/>
      <w:r w:rsidRPr="006E70D4">
        <w:rPr>
          <w:i/>
          <w:lang w:eastAsia="en-GB"/>
        </w:rPr>
        <w:br/>
        <w:t xml:space="preserve">Incident light = lux number of water </w:t>
      </w:r>
      <w:r w:rsidRPr="0024620F">
        <w:rPr>
          <w:lang w:eastAsia="en-GB"/>
        </w:rPr>
        <w:t>(blank sample)</w:t>
      </w:r>
    </w:p>
    <w:p w14:paraId="3ADBA5B4" w14:textId="01852D8A" w:rsidR="006274A3" w:rsidRPr="00AA0140" w:rsidRDefault="006E70D4" w:rsidP="00E521F5">
      <w:pPr>
        <w:rPr>
          <w:lang w:eastAsia="en-GB"/>
        </w:rPr>
      </w:pPr>
      <w:r w:rsidRPr="57B7AE3C">
        <w:rPr>
          <w:lang w:eastAsia="en-GB"/>
        </w:rPr>
        <w:t>Absorbance is the opposite of transmittance and states how much o</w:t>
      </w:r>
      <w:r w:rsidR="0024620F">
        <w:rPr>
          <w:lang w:eastAsia="en-GB"/>
        </w:rPr>
        <w:t>f the light the sample absorbed:</w:t>
      </w:r>
    </w:p>
    <w:p w14:paraId="1810DEED" w14:textId="462824DD" w:rsidR="002A0E23" w:rsidRPr="006646E6" w:rsidRDefault="006274A3" w:rsidP="002A0E23">
      <w:pPr>
        <w:jc w:val="center"/>
        <w:rPr>
          <w:i/>
        </w:rPr>
      </w:pPr>
      <w:r w:rsidRPr="006646E6">
        <w:rPr>
          <w:bCs/>
          <w:i/>
        </w:rPr>
        <w:t>Absorbance</w:t>
      </w:r>
      <w:r w:rsidR="00BB513D">
        <w:rPr>
          <w:i/>
        </w:rPr>
        <w:t xml:space="preserve"> </w:t>
      </w:r>
      <w:r w:rsidRPr="006646E6">
        <w:rPr>
          <w:i/>
        </w:rPr>
        <w:t>= 2 – log</w:t>
      </w:r>
      <w:r w:rsidRPr="006646E6">
        <w:rPr>
          <w:i/>
          <w:position w:val="-12"/>
          <w:vertAlign w:val="subscript"/>
        </w:rPr>
        <w:t>10</w:t>
      </w:r>
      <w:r w:rsidRPr="006646E6">
        <w:rPr>
          <w:i/>
        </w:rPr>
        <w:t xml:space="preserve"> (%T)</w:t>
      </w:r>
    </w:p>
    <w:p w14:paraId="08D158F0" w14:textId="22B8D7C3" w:rsidR="00E521F5" w:rsidRDefault="00BB513D" w:rsidP="00221F1D">
      <w:pPr>
        <w:pStyle w:val="Heading3"/>
      </w:pPr>
      <w:r>
        <w:t>Example:</w:t>
      </w:r>
    </w:p>
    <w:p w14:paraId="5B1F48DF" w14:textId="26EBD036" w:rsidR="006274A3" w:rsidRPr="00AA0140" w:rsidRDefault="00220E27" w:rsidP="00E521F5">
      <w:r>
        <w:rPr>
          <w:bCs/>
        </w:rPr>
        <w:t xml:space="preserve">To </w:t>
      </w:r>
      <w:r w:rsidR="006274A3" w:rsidRPr="00E521F5">
        <w:rPr>
          <w:bCs/>
        </w:rPr>
        <w:t>convert</w:t>
      </w:r>
      <w:r>
        <w:rPr>
          <w:bCs/>
        </w:rPr>
        <w:t xml:space="preserve"> a transmittance of</w:t>
      </w:r>
      <w:r w:rsidR="00BB513D">
        <w:t xml:space="preserve"> </w:t>
      </w:r>
      <w:r>
        <w:t xml:space="preserve">56% </w:t>
      </w:r>
      <w:r w:rsidR="00BB513D">
        <w:t xml:space="preserve">to </w:t>
      </w:r>
      <w:r w:rsidR="006274A3" w:rsidRPr="00E521F5">
        <w:rPr>
          <w:bCs/>
        </w:rPr>
        <w:t>absorbance</w:t>
      </w:r>
      <w:r w:rsidR="006274A3" w:rsidRPr="00AA0140">
        <w:t>:</w:t>
      </w:r>
    </w:p>
    <w:p w14:paraId="4C98D17E" w14:textId="05345426" w:rsidR="00220E27" w:rsidRPr="006646E6" w:rsidRDefault="00220E27" w:rsidP="006646E6">
      <w:pPr>
        <w:jc w:val="center"/>
        <w:rPr>
          <w:i/>
          <w:lang w:val="de-DE"/>
        </w:rPr>
      </w:pPr>
      <w:r w:rsidRPr="006646E6">
        <w:rPr>
          <w:i/>
          <w:lang w:val="de-DE"/>
        </w:rPr>
        <w:t>Absorbance</w:t>
      </w:r>
      <w:r w:rsidR="00BB513D">
        <w:rPr>
          <w:i/>
          <w:lang w:val="de-DE"/>
        </w:rPr>
        <w:t xml:space="preserve"> </w:t>
      </w:r>
      <w:r w:rsidR="006646E6">
        <w:rPr>
          <w:i/>
          <w:lang w:val="de-DE"/>
        </w:rPr>
        <w:t>= 2 –</w:t>
      </w:r>
      <w:r w:rsidRPr="006646E6">
        <w:rPr>
          <w:i/>
          <w:lang w:val="de-DE"/>
        </w:rPr>
        <w:t xml:space="preserve"> log</w:t>
      </w:r>
      <w:r w:rsidRPr="006646E6">
        <w:rPr>
          <w:i/>
          <w:position w:val="-12"/>
          <w:vertAlign w:val="subscript"/>
          <w:lang w:val="de-DE"/>
        </w:rPr>
        <w:t>10</w:t>
      </w:r>
      <w:r w:rsidRPr="006646E6">
        <w:rPr>
          <w:i/>
          <w:lang w:val="de-DE"/>
        </w:rPr>
        <w:t xml:space="preserve"> (%T)</w:t>
      </w:r>
    </w:p>
    <w:p w14:paraId="5D81E56F" w14:textId="6AD5DD19" w:rsidR="03D0C559" w:rsidRPr="006646E6" w:rsidRDefault="00BB513D" w:rsidP="006646E6">
      <w:pPr>
        <w:jc w:val="center"/>
        <w:rPr>
          <w:i/>
          <w:lang w:val="de-DE"/>
        </w:rPr>
      </w:pPr>
      <w:r>
        <w:rPr>
          <w:i/>
          <w:lang w:val="de-DE"/>
        </w:rPr>
        <w:t xml:space="preserve">Absorbance </w:t>
      </w:r>
      <w:r w:rsidR="03D0C559" w:rsidRPr="006646E6">
        <w:rPr>
          <w:i/>
          <w:lang w:val="de-DE"/>
        </w:rPr>
        <w:t>= 2 – log</w:t>
      </w:r>
      <w:r w:rsidR="006646E6" w:rsidRPr="006646E6">
        <w:rPr>
          <w:i/>
          <w:position w:val="-12"/>
          <w:vertAlign w:val="subscript"/>
          <w:lang w:val="de-DE"/>
        </w:rPr>
        <w:t>10</w:t>
      </w:r>
      <w:r w:rsidR="03D0C559" w:rsidRPr="006646E6">
        <w:rPr>
          <w:i/>
          <w:lang w:val="de-DE"/>
        </w:rPr>
        <w:t xml:space="preserve"> (56)</w:t>
      </w:r>
    </w:p>
    <w:p w14:paraId="128D1C5D" w14:textId="7F63380C" w:rsidR="005D0267" w:rsidRDefault="03D0C559" w:rsidP="006E70D4">
      <w:pPr>
        <w:jc w:val="center"/>
        <w:rPr>
          <w:i/>
        </w:rPr>
      </w:pPr>
      <w:r w:rsidRPr="006646E6">
        <w:rPr>
          <w:i/>
        </w:rPr>
        <w:t>Absorbance = 0.252 absorbance units</w:t>
      </w:r>
    </w:p>
    <w:p w14:paraId="3AA3779C" w14:textId="19508FCD" w:rsidR="006E70D4" w:rsidRPr="005D0267" w:rsidRDefault="005D0267" w:rsidP="005D0267">
      <w:pPr>
        <w:keepLines w:val="0"/>
        <w:spacing w:before="200" w:after="0"/>
        <w:rPr>
          <w:i/>
        </w:rPr>
      </w:pPr>
      <w:r>
        <w:rPr>
          <w:i/>
        </w:rPr>
        <w:br w:type="page"/>
      </w:r>
    </w:p>
    <w:tbl>
      <w:tblPr>
        <w:tblStyle w:val="TableGrid"/>
        <w:tblpPr w:leftFromText="180" w:rightFromText="180" w:vertAnchor="text" w:horzAnchor="margin" w:tblpY="721"/>
        <w:tblW w:w="0" w:type="auto"/>
        <w:tblLook w:val="0620" w:firstRow="1" w:lastRow="0" w:firstColumn="0" w:lastColumn="0" w:noHBand="1" w:noVBand="1"/>
        <w:tblCaption w:val="Table"/>
      </w:tblPr>
      <w:tblGrid>
        <w:gridCol w:w="1838"/>
        <w:gridCol w:w="1575"/>
        <w:gridCol w:w="1575"/>
        <w:gridCol w:w="1576"/>
        <w:gridCol w:w="1575"/>
        <w:gridCol w:w="1576"/>
      </w:tblGrid>
      <w:tr w:rsidR="006E70D4" w:rsidRPr="008A6AD0" w14:paraId="58194AEC" w14:textId="77777777" w:rsidTr="00E84F19">
        <w:trPr>
          <w:gridBefore w:val="1"/>
          <w:wBefore w:w="1838" w:type="dxa"/>
          <w:trHeight w:val="470"/>
          <w:tblHeader/>
        </w:trPr>
        <w:tc>
          <w:tcPr>
            <w:tcW w:w="1575" w:type="dxa"/>
            <w:vAlign w:val="center"/>
          </w:tcPr>
          <w:p w14:paraId="4547FEA3" w14:textId="77777777" w:rsidR="006E70D4" w:rsidRPr="005D0267" w:rsidRDefault="006E70D4" w:rsidP="005D0267">
            <w:pPr>
              <w:jc w:val="center"/>
              <w:rPr>
                <w:b/>
              </w:rPr>
            </w:pPr>
            <w:r w:rsidRPr="005D0267">
              <w:rPr>
                <w:b/>
              </w:rPr>
              <w:lastRenderedPageBreak/>
              <w:t>Control</w:t>
            </w:r>
          </w:p>
        </w:tc>
        <w:tc>
          <w:tcPr>
            <w:tcW w:w="1575" w:type="dxa"/>
            <w:vAlign w:val="center"/>
          </w:tcPr>
          <w:p w14:paraId="76009C43" w14:textId="77777777" w:rsidR="006E70D4" w:rsidRPr="005D0267" w:rsidRDefault="006E70D4" w:rsidP="005D0267">
            <w:pPr>
              <w:jc w:val="center"/>
              <w:rPr>
                <w:b/>
              </w:rPr>
            </w:pPr>
            <w:r w:rsidRPr="005D0267">
              <w:rPr>
                <w:b/>
              </w:rPr>
              <w:t>Sample A</w:t>
            </w:r>
          </w:p>
        </w:tc>
        <w:tc>
          <w:tcPr>
            <w:tcW w:w="1576" w:type="dxa"/>
            <w:vAlign w:val="center"/>
          </w:tcPr>
          <w:p w14:paraId="1077A982" w14:textId="77777777" w:rsidR="006E70D4" w:rsidRPr="005D0267" w:rsidRDefault="006E70D4" w:rsidP="005D0267">
            <w:pPr>
              <w:jc w:val="center"/>
              <w:rPr>
                <w:b/>
              </w:rPr>
            </w:pPr>
            <w:r w:rsidRPr="005D0267">
              <w:rPr>
                <w:b/>
              </w:rPr>
              <w:t>Sample B</w:t>
            </w:r>
          </w:p>
        </w:tc>
        <w:tc>
          <w:tcPr>
            <w:tcW w:w="1575" w:type="dxa"/>
            <w:vAlign w:val="center"/>
          </w:tcPr>
          <w:p w14:paraId="59AE9ABF" w14:textId="77777777" w:rsidR="006E70D4" w:rsidRPr="005D0267" w:rsidRDefault="006E70D4" w:rsidP="005D0267">
            <w:pPr>
              <w:jc w:val="center"/>
              <w:rPr>
                <w:b/>
              </w:rPr>
            </w:pPr>
            <w:r w:rsidRPr="005D0267">
              <w:rPr>
                <w:b/>
              </w:rPr>
              <w:t>Sample C</w:t>
            </w:r>
          </w:p>
        </w:tc>
        <w:tc>
          <w:tcPr>
            <w:tcW w:w="1576" w:type="dxa"/>
            <w:vAlign w:val="center"/>
          </w:tcPr>
          <w:p w14:paraId="1A7365E9" w14:textId="36E128D0" w:rsidR="006E70D4" w:rsidRPr="005D0267" w:rsidRDefault="006E70D4" w:rsidP="005D0267">
            <w:pPr>
              <w:jc w:val="center"/>
              <w:rPr>
                <w:b/>
              </w:rPr>
            </w:pPr>
            <w:r w:rsidRPr="005D0267">
              <w:rPr>
                <w:b/>
              </w:rPr>
              <w:t>Unknown</w:t>
            </w:r>
          </w:p>
        </w:tc>
      </w:tr>
      <w:tr w:rsidR="006E70D4" w:rsidRPr="00F32AE0" w14:paraId="7E806840" w14:textId="77777777" w:rsidTr="00E84F19">
        <w:trPr>
          <w:trHeight w:val="470"/>
        </w:trPr>
        <w:tc>
          <w:tcPr>
            <w:tcW w:w="1838" w:type="dxa"/>
            <w:vAlign w:val="center"/>
          </w:tcPr>
          <w:p w14:paraId="5D5C312D" w14:textId="45E3E1CF" w:rsidR="006E70D4" w:rsidRPr="005D0267" w:rsidRDefault="006E70D4" w:rsidP="005D0267">
            <w:pPr>
              <w:jc w:val="center"/>
            </w:pPr>
            <w:r w:rsidRPr="005D0267">
              <w:t>Squash</w:t>
            </w:r>
            <w:r w:rsidR="005D0267" w:rsidRPr="005D0267">
              <w:t xml:space="preserve"> (ml)</w:t>
            </w:r>
          </w:p>
        </w:tc>
        <w:tc>
          <w:tcPr>
            <w:tcW w:w="1575" w:type="dxa"/>
            <w:vAlign w:val="center"/>
          </w:tcPr>
          <w:p w14:paraId="34D76556" w14:textId="77777777" w:rsidR="006E70D4" w:rsidRPr="00F32AE0" w:rsidRDefault="006E70D4" w:rsidP="005D0267">
            <w:pPr>
              <w:jc w:val="center"/>
            </w:pPr>
            <w:r>
              <w:t>0</w:t>
            </w:r>
          </w:p>
        </w:tc>
        <w:tc>
          <w:tcPr>
            <w:tcW w:w="1575" w:type="dxa"/>
            <w:vAlign w:val="center"/>
          </w:tcPr>
          <w:p w14:paraId="465773DA" w14:textId="77777777" w:rsidR="006E70D4" w:rsidRDefault="006E70D4" w:rsidP="005D0267">
            <w:pPr>
              <w:jc w:val="center"/>
            </w:pPr>
            <w:r>
              <w:t>1</w:t>
            </w:r>
          </w:p>
        </w:tc>
        <w:tc>
          <w:tcPr>
            <w:tcW w:w="1576" w:type="dxa"/>
            <w:vAlign w:val="center"/>
          </w:tcPr>
          <w:p w14:paraId="24044358" w14:textId="77777777" w:rsidR="006E70D4" w:rsidRDefault="006E70D4" w:rsidP="005D0267">
            <w:pPr>
              <w:jc w:val="center"/>
            </w:pPr>
            <w:r>
              <w:t>5</w:t>
            </w:r>
          </w:p>
        </w:tc>
        <w:tc>
          <w:tcPr>
            <w:tcW w:w="1575" w:type="dxa"/>
            <w:vAlign w:val="center"/>
          </w:tcPr>
          <w:p w14:paraId="529855F1" w14:textId="77777777" w:rsidR="006E70D4" w:rsidRDefault="006E70D4" w:rsidP="005D0267">
            <w:pPr>
              <w:jc w:val="center"/>
            </w:pPr>
            <w:r>
              <w:t>10</w:t>
            </w:r>
          </w:p>
        </w:tc>
        <w:tc>
          <w:tcPr>
            <w:tcW w:w="1576" w:type="dxa"/>
            <w:vAlign w:val="center"/>
          </w:tcPr>
          <w:p w14:paraId="3925E9A0" w14:textId="5726A456" w:rsidR="006E70D4" w:rsidRPr="00F32AE0" w:rsidRDefault="006E70D4" w:rsidP="005D0267">
            <w:pPr>
              <w:jc w:val="center"/>
            </w:pPr>
            <w:r>
              <w:t>X</w:t>
            </w:r>
          </w:p>
        </w:tc>
      </w:tr>
      <w:tr w:rsidR="006E70D4" w:rsidRPr="00F32AE0" w14:paraId="500D0AB9" w14:textId="77777777" w:rsidTr="00E84F19">
        <w:trPr>
          <w:trHeight w:val="470"/>
        </w:trPr>
        <w:tc>
          <w:tcPr>
            <w:tcW w:w="1838" w:type="dxa"/>
            <w:tcBorders>
              <w:bottom w:val="single" w:sz="12" w:space="0" w:color="auto"/>
            </w:tcBorders>
            <w:vAlign w:val="center"/>
          </w:tcPr>
          <w:p w14:paraId="1F2C6A3F" w14:textId="047D1221" w:rsidR="006E70D4" w:rsidRPr="005D0267" w:rsidRDefault="006E70D4" w:rsidP="005D0267">
            <w:pPr>
              <w:jc w:val="center"/>
            </w:pPr>
            <w:r w:rsidRPr="005D0267">
              <w:t>Water</w:t>
            </w:r>
            <w:r w:rsidR="005D0267" w:rsidRPr="005D0267">
              <w:t xml:space="preserve"> (ml)</w:t>
            </w:r>
          </w:p>
        </w:tc>
        <w:tc>
          <w:tcPr>
            <w:tcW w:w="1575" w:type="dxa"/>
            <w:tcBorders>
              <w:bottom w:val="single" w:sz="12" w:space="0" w:color="auto"/>
            </w:tcBorders>
            <w:vAlign w:val="center"/>
          </w:tcPr>
          <w:p w14:paraId="05F4A445" w14:textId="77777777" w:rsidR="006E70D4" w:rsidRPr="00F32AE0" w:rsidRDefault="006E70D4" w:rsidP="005D0267">
            <w:pPr>
              <w:jc w:val="center"/>
            </w:pPr>
            <w:r>
              <w:t>100</w:t>
            </w:r>
          </w:p>
        </w:tc>
        <w:tc>
          <w:tcPr>
            <w:tcW w:w="1575" w:type="dxa"/>
            <w:tcBorders>
              <w:bottom w:val="single" w:sz="12" w:space="0" w:color="auto"/>
            </w:tcBorders>
            <w:vAlign w:val="center"/>
          </w:tcPr>
          <w:p w14:paraId="154E9315" w14:textId="77777777" w:rsidR="006E70D4" w:rsidRDefault="006E70D4" w:rsidP="005D0267">
            <w:pPr>
              <w:jc w:val="center"/>
            </w:pPr>
            <w:r>
              <w:t>100</w:t>
            </w:r>
          </w:p>
        </w:tc>
        <w:tc>
          <w:tcPr>
            <w:tcW w:w="1576" w:type="dxa"/>
            <w:tcBorders>
              <w:bottom w:val="single" w:sz="12" w:space="0" w:color="auto"/>
            </w:tcBorders>
            <w:vAlign w:val="center"/>
          </w:tcPr>
          <w:p w14:paraId="026D3FF5" w14:textId="77777777" w:rsidR="006E70D4" w:rsidRDefault="006E70D4" w:rsidP="005D0267">
            <w:pPr>
              <w:jc w:val="center"/>
            </w:pPr>
            <w:r>
              <w:t>100</w:t>
            </w:r>
          </w:p>
        </w:tc>
        <w:tc>
          <w:tcPr>
            <w:tcW w:w="1575" w:type="dxa"/>
            <w:tcBorders>
              <w:bottom w:val="single" w:sz="12" w:space="0" w:color="auto"/>
            </w:tcBorders>
            <w:vAlign w:val="center"/>
          </w:tcPr>
          <w:p w14:paraId="343B5DBD" w14:textId="77777777" w:rsidR="006E70D4" w:rsidRDefault="006E70D4" w:rsidP="005D0267">
            <w:pPr>
              <w:jc w:val="center"/>
            </w:pPr>
            <w:r>
              <w:t>100</w:t>
            </w:r>
          </w:p>
        </w:tc>
        <w:tc>
          <w:tcPr>
            <w:tcW w:w="1576" w:type="dxa"/>
            <w:tcBorders>
              <w:bottom w:val="single" w:sz="12" w:space="0" w:color="auto"/>
            </w:tcBorders>
            <w:vAlign w:val="center"/>
          </w:tcPr>
          <w:p w14:paraId="6487FD4B" w14:textId="69547409" w:rsidR="006E70D4" w:rsidRPr="00F32AE0" w:rsidRDefault="006E70D4" w:rsidP="005D0267">
            <w:pPr>
              <w:jc w:val="center"/>
            </w:pPr>
            <w:r>
              <w:t>100</w:t>
            </w:r>
          </w:p>
        </w:tc>
      </w:tr>
      <w:tr w:rsidR="006E70D4" w:rsidRPr="00F32AE0" w14:paraId="1698FA0E" w14:textId="77777777" w:rsidTr="00E84F19">
        <w:trPr>
          <w:trHeight w:val="470"/>
        </w:trPr>
        <w:tc>
          <w:tcPr>
            <w:tcW w:w="1838" w:type="dxa"/>
            <w:tcBorders>
              <w:top w:val="single" w:sz="12" w:space="0" w:color="auto"/>
              <w:left w:val="single" w:sz="4" w:space="0" w:color="auto"/>
              <w:bottom w:val="single" w:sz="4" w:space="0" w:color="auto"/>
            </w:tcBorders>
            <w:shd w:val="clear" w:color="auto" w:fill="auto"/>
            <w:vAlign w:val="center"/>
          </w:tcPr>
          <w:p w14:paraId="1F614B4D" w14:textId="77777777" w:rsidR="006E70D4" w:rsidRPr="005D0267" w:rsidRDefault="006E70D4" w:rsidP="005D0267">
            <w:pPr>
              <w:jc w:val="center"/>
              <w:rPr>
                <w:b/>
              </w:rPr>
            </w:pPr>
            <w:r w:rsidRPr="005D0267">
              <w:rPr>
                <w:b/>
              </w:rPr>
              <w:t>Lux number</w:t>
            </w:r>
          </w:p>
        </w:tc>
        <w:tc>
          <w:tcPr>
            <w:tcW w:w="1575" w:type="dxa"/>
            <w:tcBorders>
              <w:top w:val="single" w:sz="12" w:space="0" w:color="auto"/>
              <w:bottom w:val="single" w:sz="4" w:space="0" w:color="auto"/>
            </w:tcBorders>
            <w:shd w:val="clear" w:color="auto" w:fill="auto"/>
            <w:vAlign w:val="center"/>
          </w:tcPr>
          <w:p w14:paraId="7292989E" w14:textId="77777777" w:rsidR="006E70D4" w:rsidRDefault="006E70D4" w:rsidP="005D0267">
            <w:pPr>
              <w:jc w:val="center"/>
            </w:pPr>
          </w:p>
        </w:tc>
        <w:tc>
          <w:tcPr>
            <w:tcW w:w="1575" w:type="dxa"/>
            <w:tcBorders>
              <w:top w:val="single" w:sz="12" w:space="0" w:color="auto"/>
              <w:bottom w:val="single" w:sz="4" w:space="0" w:color="auto"/>
            </w:tcBorders>
            <w:shd w:val="clear" w:color="auto" w:fill="auto"/>
            <w:vAlign w:val="center"/>
          </w:tcPr>
          <w:p w14:paraId="7CF5E8D2" w14:textId="77777777" w:rsidR="006E70D4" w:rsidRDefault="006E70D4" w:rsidP="005D0267">
            <w:pPr>
              <w:jc w:val="center"/>
            </w:pPr>
          </w:p>
        </w:tc>
        <w:tc>
          <w:tcPr>
            <w:tcW w:w="1576" w:type="dxa"/>
            <w:tcBorders>
              <w:top w:val="single" w:sz="12" w:space="0" w:color="auto"/>
              <w:bottom w:val="single" w:sz="4" w:space="0" w:color="auto"/>
            </w:tcBorders>
            <w:shd w:val="clear" w:color="auto" w:fill="auto"/>
            <w:vAlign w:val="center"/>
          </w:tcPr>
          <w:p w14:paraId="00F1B136" w14:textId="77777777" w:rsidR="006E70D4" w:rsidRDefault="006E70D4" w:rsidP="005D0267">
            <w:pPr>
              <w:jc w:val="center"/>
            </w:pPr>
          </w:p>
        </w:tc>
        <w:tc>
          <w:tcPr>
            <w:tcW w:w="1575" w:type="dxa"/>
            <w:tcBorders>
              <w:top w:val="single" w:sz="12" w:space="0" w:color="auto"/>
              <w:bottom w:val="single" w:sz="4" w:space="0" w:color="auto"/>
            </w:tcBorders>
            <w:shd w:val="clear" w:color="auto" w:fill="auto"/>
            <w:vAlign w:val="center"/>
          </w:tcPr>
          <w:p w14:paraId="53280DE7" w14:textId="77777777" w:rsidR="006E70D4" w:rsidRDefault="006E70D4" w:rsidP="005D0267">
            <w:pPr>
              <w:jc w:val="center"/>
            </w:pPr>
          </w:p>
        </w:tc>
        <w:tc>
          <w:tcPr>
            <w:tcW w:w="1576" w:type="dxa"/>
            <w:tcBorders>
              <w:top w:val="single" w:sz="12" w:space="0" w:color="auto"/>
              <w:bottom w:val="single" w:sz="4" w:space="0" w:color="auto"/>
              <w:right w:val="single" w:sz="4" w:space="0" w:color="auto"/>
            </w:tcBorders>
            <w:shd w:val="clear" w:color="auto" w:fill="auto"/>
            <w:vAlign w:val="center"/>
          </w:tcPr>
          <w:p w14:paraId="42AA33FB" w14:textId="142166D5" w:rsidR="006E70D4" w:rsidRDefault="006E70D4" w:rsidP="005D0267">
            <w:pPr>
              <w:jc w:val="center"/>
            </w:pPr>
          </w:p>
        </w:tc>
      </w:tr>
      <w:tr w:rsidR="006E70D4" w:rsidRPr="00F32AE0" w14:paraId="59A210F9" w14:textId="77777777" w:rsidTr="00E84F19">
        <w:trPr>
          <w:trHeight w:val="47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BDA4B6" w14:textId="77777777" w:rsidR="006E70D4" w:rsidRPr="005D0267" w:rsidRDefault="006E70D4" w:rsidP="005D0267">
            <w:pPr>
              <w:jc w:val="center"/>
              <w:rPr>
                <w:b/>
              </w:rPr>
            </w:pPr>
            <w:r w:rsidRPr="005D0267">
              <w:rPr>
                <w:b/>
                <w:lang w:eastAsia="en-GB"/>
              </w:rPr>
              <w:t>% Transmittance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7648161" w14:textId="77777777" w:rsidR="006E70D4" w:rsidRDefault="006E70D4" w:rsidP="005D0267">
            <w:pPr>
              <w:jc w:val="cente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5C446F8" w14:textId="77777777" w:rsidR="006E70D4" w:rsidRDefault="006E70D4" w:rsidP="005D0267">
            <w:pPr>
              <w:jc w:val="cente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5E3850B" w14:textId="77777777" w:rsidR="006E70D4" w:rsidRDefault="006E70D4" w:rsidP="005D0267">
            <w:pPr>
              <w:jc w:val="cente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473AE84" w14:textId="77777777" w:rsidR="006E70D4" w:rsidRDefault="006E70D4" w:rsidP="005D0267">
            <w:pPr>
              <w:jc w:val="cente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4FAEEA4" w14:textId="77777777" w:rsidR="006E70D4" w:rsidRDefault="006E70D4" w:rsidP="005D0267">
            <w:pPr>
              <w:jc w:val="center"/>
            </w:pPr>
          </w:p>
        </w:tc>
      </w:tr>
      <w:tr w:rsidR="006E70D4" w:rsidRPr="00F32AE0" w14:paraId="42354BBC" w14:textId="77777777" w:rsidTr="00E84F19">
        <w:trPr>
          <w:trHeight w:val="470"/>
        </w:trPr>
        <w:tc>
          <w:tcPr>
            <w:tcW w:w="1838" w:type="dxa"/>
            <w:tcBorders>
              <w:top w:val="single" w:sz="4" w:space="0" w:color="auto"/>
            </w:tcBorders>
            <w:shd w:val="clear" w:color="auto" w:fill="auto"/>
          </w:tcPr>
          <w:p w14:paraId="397202FD" w14:textId="77777777" w:rsidR="006E70D4" w:rsidRPr="005D0267" w:rsidRDefault="006E70D4" w:rsidP="005D0267">
            <w:pPr>
              <w:jc w:val="center"/>
              <w:rPr>
                <w:b/>
              </w:rPr>
            </w:pPr>
            <w:r w:rsidRPr="005D0267">
              <w:rPr>
                <w:b/>
                <w:lang w:eastAsia="en-GB"/>
              </w:rPr>
              <w:t>Absorbance</w:t>
            </w:r>
          </w:p>
        </w:tc>
        <w:tc>
          <w:tcPr>
            <w:tcW w:w="1575" w:type="dxa"/>
            <w:tcBorders>
              <w:top w:val="single" w:sz="4" w:space="0" w:color="auto"/>
            </w:tcBorders>
            <w:shd w:val="clear" w:color="auto" w:fill="auto"/>
            <w:vAlign w:val="center"/>
          </w:tcPr>
          <w:p w14:paraId="65E97847" w14:textId="77777777" w:rsidR="006E70D4" w:rsidRDefault="006E70D4" w:rsidP="005D0267">
            <w:pPr>
              <w:jc w:val="center"/>
            </w:pPr>
          </w:p>
        </w:tc>
        <w:tc>
          <w:tcPr>
            <w:tcW w:w="1575" w:type="dxa"/>
            <w:tcBorders>
              <w:top w:val="single" w:sz="4" w:space="0" w:color="auto"/>
            </w:tcBorders>
            <w:shd w:val="clear" w:color="auto" w:fill="auto"/>
            <w:vAlign w:val="center"/>
          </w:tcPr>
          <w:p w14:paraId="48B829DD" w14:textId="77777777" w:rsidR="006E70D4" w:rsidRDefault="006E70D4" w:rsidP="005D0267">
            <w:pPr>
              <w:jc w:val="center"/>
            </w:pPr>
          </w:p>
        </w:tc>
        <w:tc>
          <w:tcPr>
            <w:tcW w:w="1576" w:type="dxa"/>
            <w:tcBorders>
              <w:top w:val="single" w:sz="4" w:space="0" w:color="auto"/>
            </w:tcBorders>
            <w:shd w:val="clear" w:color="auto" w:fill="auto"/>
            <w:vAlign w:val="center"/>
          </w:tcPr>
          <w:p w14:paraId="5C2AD69B" w14:textId="77777777" w:rsidR="006E70D4" w:rsidRDefault="006E70D4" w:rsidP="005D0267">
            <w:pPr>
              <w:jc w:val="center"/>
            </w:pPr>
          </w:p>
        </w:tc>
        <w:tc>
          <w:tcPr>
            <w:tcW w:w="1575" w:type="dxa"/>
            <w:tcBorders>
              <w:top w:val="single" w:sz="4" w:space="0" w:color="auto"/>
            </w:tcBorders>
            <w:shd w:val="clear" w:color="auto" w:fill="auto"/>
            <w:vAlign w:val="center"/>
          </w:tcPr>
          <w:p w14:paraId="7277D18C" w14:textId="77777777" w:rsidR="006E70D4" w:rsidRDefault="006E70D4" w:rsidP="005D0267">
            <w:pPr>
              <w:jc w:val="center"/>
            </w:pPr>
          </w:p>
        </w:tc>
        <w:tc>
          <w:tcPr>
            <w:tcW w:w="1576" w:type="dxa"/>
            <w:tcBorders>
              <w:top w:val="single" w:sz="4" w:space="0" w:color="auto"/>
            </w:tcBorders>
            <w:shd w:val="clear" w:color="auto" w:fill="auto"/>
            <w:vAlign w:val="center"/>
          </w:tcPr>
          <w:p w14:paraId="79AECE82" w14:textId="70936CAE" w:rsidR="006E70D4" w:rsidRDefault="006E70D4" w:rsidP="005D0267">
            <w:pPr>
              <w:jc w:val="center"/>
            </w:pPr>
          </w:p>
        </w:tc>
      </w:tr>
    </w:tbl>
    <w:p w14:paraId="4A399E7F" w14:textId="77777777" w:rsidR="005D0267" w:rsidRDefault="005D0267" w:rsidP="005D0267">
      <w:pPr>
        <w:pStyle w:val="Heading2"/>
      </w:pPr>
      <w:r>
        <w:t>Recording results</w:t>
      </w:r>
    </w:p>
    <w:p w14:paraId="73C93636" w14:textId="5ECBC461" w:rsidR="006E70D4" w:rsidRDefault="006E70D4" w:rsidP="006E70D4">
      <w:r>
        <w:t>Record your observations and calculations in a table:</w:t>
      </w:r>
    </w:p>
    <w:p w14:paraId="340D97F2" w14:textId="77777777" w:rsidR="005D0267" w:rsidRDefault="005D0267" w:rsidP="00E521F5">
      <w:pPr>
        <w:rPr>
          <w:lang w:eastAsia="en-GB"/>
        </w:rPr>
      </w:pPr>
    </w:p>
    <w:p w14:paraId="392FA64D" w14:textId="087D8217" w:rsidR="006274A3" w:rsidRDefault="006274A3" w:rsidP="00E521F5">
      <w:r w:rsidRPr="00AA0140">
        <w:rPr>
          <w:lang w:eastAsia="en-GB"/>
        </w:rPr>
        <w:t xml:space="preserve">Using </w:t>
      </w:r>
      <w:r>
        <w:rPr>
          <w:lang w:eastAsia="en-GB"/>
        </w:rPr>
        <w:t xml:space="preserve">your </w:t>
      </w:r>
      <w:r w:rsidR="00FF1180">
        <w:rPr>
          <w:lang w:eastAsia="en-GB"/>
        </w:rPr>
        <w:t>samples A, B and C</w:t>
      </w:r>
      <w:r w:rsidRPr="00AA0140">
        <w:rPr>
          <w:lang w:eastAsia="en-GB"/>
        </w:rPr>
        <w:t xml:space="preserve"> as standards, a straight line graph can be formed with absorbance</w:t>
      </w:r>
      <w:r>
        <w:rPr>
          <w:lang w:eastAsia="en-GB"/>
        </w:rPr>
        <w:t xml:space="preserve"> on the </w:t>
      </w:r>
      <w:r w:rsidR="006E70D4">
        <w:rPr>
          <w:lang w:eastAsia="en-GB"/>
        </w:rPr>
        <w:br/>
      </w:r>
      <w:r>
        <w:rPr>
          <w:lang w:eastAsia="en-GB"/>
        </w:rPr>
        <w:t xml:space="preserve">y-axis and concentration on the x-axis. </w:t>
      </w:r>
      <w:bookmarkStart w:id="0" w:name="_GoBack"/>
      <w:r w:rsidR="005070A3">
        <w:rPr>
          <w:noProof/>
          <w:lang w:eastAsia="en-GB"/>
        </w:rPr>
        <w:drawing>
          <wp:inline distT="0" distB="0" distL="0" distR="0" wp14:anchorId="51F456BA" wp14:editId="6A54D391">
            <wp:extent cx="6188710" cy="32569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ctroscopy-graph-04-01.jpg"/>
                    <pic:cNvPicPr/>
                  </pic:nvPicPr>
                  <pic:blipFill>
                    <a:blip r:embed="rId13">
                      <a:extLst>
                        <a:ext uri="{28A0092B-C50C-407E-A947-70E740481C1C}">
                          <a14:useLocalDpi xmlns:a14="http://schemas.microsoft.com/office/drawing/2010/main" val="0"/>
                        </a:ext>
                      </a:extLst>
                    </a:blip>
                    <a:stretch>
                      <a:fillRect/>
                    </a:stretch>
                  </pic:blipFill>
                  <pic:spPr>
                    <a:xfrm>
                      <a:off x="0" y="0"/>
                      <a:ext cx="6188710" cy="3256915"/>
                    </a:xfrm>
                    <a:prstGeom prst="rect">
                      <a:avLst/>
                    </a:prstGeom>
                  </pic:spPr>
                </pic:pic>
              </a:graphicData>
            </a:graphic>
          </wp:inline>
        </w:drawing>
      </w:r>
    </w:p>
    <w:bookmarkEnd w:id="0"/>
    <w:p w14:paraId="74AEE330" w14:textId="35323C5F" w:rsidR="006274A3" w:rsidRDefault="006274A3" w:rsidP="00FF1180">
      <w:pPr>
        <w:rPr>
          <w:lang w:eastAsia="en-GB"/>
        </w:rPr>
      </w:pPr>
      <w:r>
        <w:rPr>
          <w:lang w:eastAsia="en-GB"/>
        </w:rPr>
        <w:t>You can now use your graph to find the concentration of an unknown sample of</w:t>
      </w:r>
      <w:r w:rsidR="6A9EFF26" w:rsidRPr="57B7AE3C">
        <w:rPr>
          <w:lang w:eastAsia="en-GB"/>
        </w:rPr>
        <w:t xml:space="preserve"> diluted</w:t>
      </w:r>
      <w:r>
        <w:rPr>
          <w:lang w:eastAsia="en-GB"/>
        </w:rPr>
        <w:t xml:space="preserve"> </w:t>
      </w:r>
      <w:r w:rsidR="3DC798C8">
        <w:rPr>
          <w:lang w:eastAsia="en-GB"/>
        </w:rPr>
        <w:t>squash</w:t>
      </w:r>
      <w:r w:rsidR="17D658DE">
        <w:rPr>
          <w:lang w:eastAsia="en-GB"/>
        </w:rPr>
        <w:t xml:space="preserve"> </w:t>
      </w:r>
      <w:r>
        <w:rPr>
          <w:lang w:eastAsia="en-GB"/>
        </w:rPr>
        <w:t xml:space="preserve">by plotting its absorbance on the y-axis and drawing a straight line over to your line of best fit and then down to the x-axis. </w:t>
      </w:r>
    </w:p>
    <w:p w14:paraId="5C40355F" w14:textId="2EC07E79" w:rsidR="007F730E" w:rsidRDefault="007F730E" w:rsidP="00FF1180">
      <w:pPr>
        <w:rPr>
          <w:lang w:eastAsia="en-GB"/>
        </w:rPr>
      </w:pPr>
      <w:r>
        <w:rPr>
          <w:lang w:eastAsia="en-GB"/>
        </w:rPr>
        <w:t xml:space="preserve">The units in the label on the x-axis include </w:t>
      </w:r>
      <w:r w:rsidR="00D35477">
        <w:rPr>
          <w:lang w:eastAsia="en-GB"/>
        </w:rPr>
        <w:t>dl</w:t>
      </w:r>
      <w:r>
        <w:rPr>
          <w:lang w:eastAsia="en-GB"/>
        </w:rPr>
        <w:t>, or decilitre</w:t>
      </w:r>
      <w:r w:rsidR="00A7542E">
        <w:rPr>
          <w:lang w:eastAsia="en-GB"/>
        </w:rPr>
        <w:t>s</w:t>
      </w:r>
      <w:r>
        <w:rPr>
          <w:lang w:eastAsia="en-GB"/>
        </w:rPr>
        <w:t xml:space="preserve">. 1 </w:t>
      </w:r>
      <w:r w:rsidR="00D35477">
        <w:rPr>
          <w:lang w:eastAsia="en-GB"/>
        </w:rPr>
        <w:t>dl</w:t>
      </w:r>
      <w:r>
        <w:rPr>
          <w:lang w:eastAsia="en-GB"/>
        </w:rPr>
        <w:t xml:space="preserve"> is the same as 100 ml.</w:t>
      </w:r>
    </w:p>
    <w:p w14:paraId="765EC7A9" w14:textId="48AE2D29" w:rsidR="006274A3" w:rsidRPr="00C80FA5" w:rsidRDefault="007F730E" w:rsidP="006274A3">
      <w:pPr>
        <w:pStyle w:val="Heading2"/>
      </w:pPr>
      <w:r>
        <w:rPr>
          <w:noProof/>
          <w:lang w:eastAsia="en-GB"/>
        </w:rPr>
        <w:lastRenderedPageBreak/>
        <w:drawing>
          <wp:anchor distT="0" distB="0" distL="114300" distR="114300" simplePos="0" relativeHeight="251671552" behindDoc="1" locked="0" layoutInCell="1" allowOverlap="1" wp14:anchorId="63C48FFF" wp14:editId="06B3F191">
            <wp:simplePos x="0" y="0"/>
            <wp:positionH relativeFrom="margin">
              <wp:posOffset>3674110</wp:posOffset>
            </wp:positionH>
            <wp:positionV relativeFrom="paragraph">
              <wp:posOffset>0</wp:posOffset>
            </wp:positionV>
            <wp:extent cx="2684780" cy="2147570"/>
            <wp:effectExtent l="0" t="0" r="1270" b="5080"/>
            <wp:wrapTight wrapText="bothSides">
              <wp:wrapPolygon edited="0">
                <wp:start x="0" y="0"/>
                <wp:lineTo x="0" y="21459"/>
                <wp:lineTo x="21457" y="21459"/>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utterstock_336472976-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4780" cy="2147570"/>
                    </a:xfrm>
                    <a:prstGeom prst="rect">
                      <a:avLst/>
                    </a:prstGeom>
                  </pic:spPr>
                </pic:pic>
              </a:graphicData>
            </a:graphic>
            <wp14:sizeRelH relativeFrom="margin">
              <wp14:pctWidth>0</wp14:pctWidth>
            </wp14:sizeRelH>
            <wp14:sizeRelV relativeFrom="margin">
              <wp14:pctHeight>0</wp14:pctHeight>
            </wp14:sizeRelV>
          </wp:anchor>
        </w:drawing>
      </w:r>
      <w:r w:rsidR="006274A3" w:rsidRPr="00C80FA5">
        <w:t>Explanation</w:t>
      </w:r>
    </w:p>
    <w:p w14:paraId="2D1EA5CB" w14:textId="69F188EF" w:rsidR="006274A3" w:rsidRDefault="006274A3" w:rsidP="006274A3">
      <w:r>
        <w:t>The reason we see colour is because everything around us absorbs different wavelengths of light. The colour wheel can help us keep track of what colours are being absorbed. In this experiment</w:t>
      </w:r>
      <w:r w:rsidR="005D0267">
        <w:t>,</w:t>
      </w:r>
      <w:r>
        <w:t xml:space="preserve"> our blackcurrant drink is purple</w:t>
      </w:r>
      <w:r w:rsidR="00230BFF">
        <w:t>/magenta</w:t>
      </w:r>
      <w:r>
        <w:t xml:space="preserve"> so it will absorb green light – green is opposite </w:t>
      </w:r>
      <w:r w:rsidR="00230BFF">
        <w:t>magenta</w:t>
      </w:r>
      <w:r>
        <w:t xml:space="preserve"> on the colour wheel.</w:t>
      </w:r>
    </w:p>
    <w:p w14:paraId="0BCB18EB" w14:textId="19318593" w:rsidR="006274A3" w:rsidRDefault="005D0267" w:rsidP="006274A3">
      <w:r>
        <w:rPr>
          <w:noProof/>
          <w:lang w:eastAsia="en-GB"/>
        </w:rPr>
        <mc:AlternateContent>
          <mc:Choice Requires="wps">
            <w:drawing>
              <wp:anchor distT="45720" distB="45720" distL="114300" distR="114300" simplePos="0" relativeHeight="251673600" behindDoc="0" locked="0" layoutInCell="1" allowOverlap="1" wp14:anchorId="3021CD98" wp14:editId="7909826B">
                <wp:simplePos x="0" y="0"/>
                <wp:positionH relativeFrom="margin">
                  <wp:posOffset>4689342</wp:posOffset>
                </wp:positionH>
                <wp:positionV relativeFrom="paragraph">
                  <wp:posOffset>805815</wp:posOffset>
                </wp:positionV>
                <wp:extent cx="1584960" cy="317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17500"/>
                        </a:xfrm>
                        <a:prstGeom prst="rect">
                          <a:avLst/>
                        </a:prstGeom>
                        <a:solidFill>
                          <a:srgbClr val="FFFFFF"/>
                        </a:solidFill>
                        <a:ln w="9525">
                          <a:noFill/>
                          <a:miter lim="800000"/>
                          <a:headEnd/>
                          <a:tailEnd/>
                        </a:ln>
                      </wps:spPr>
                      <wps:txbx>
                        <w:txbxContent>
                          <w:p w14:paraId="2E889B18" w14:textId="42346CF3" w:rsidR="007F730E" w:rsidRPr="00537CBF" w:rsidRDefault="007F730E" w:rsidP="00537CBF">
                            <w:pPr>
                              <w:jc w:val="right"/>
                              <w:rPr>
                                <w:rFonts w:ascii="Segoe UI" w:hAnsi="Segoe UI" w:cs="Segoe UI"/>
                                <w:sz w:val="12"/>
                                <w:szCs w:val="12"/>
                              </w:rPr>
                            </w:pPr>
                            <w:r w:rsidRPr="00537CBF">
                              <w:rPr>
                                <w:rFonts w:ascii="Segoe UI" w:hAnsi="Segoe UI" w:cs="Segoe UI"/>
                                <w:sz w:val="12"/>
                                <w:szCs w:val="12"/>
                              </w:rPr>
                              <w:t>Image © Royal Society of Chemistry</w:t>
                            </w:r>
                            <w:r w:rsidR="00537CBF">
                              <w:rPr>
                                <w:rFonts w:ascii="Segoe UI" w:hAnsi="Segoe UI" w:cs="Segoe UI"/>
                                <w:sz w:val="12"/>
                                <w:szCs w:val="12"/>
                              </w:rPr>
                              <w:t xml:space="preserve"> </w:t>
                            </w:r>
                            <w:r w:rsidR="00537CBF">
                              <w:rPr>
                                <w:rFonts w:ascii="Segoe UI" w:hAnsi="Segoe UI" w:cs="Segoe UI"/>
                                <w:sz w:val="12"/>
                                <w:szCs w:val="12"/>
                              </w:rPr>
                              <w:br/>
                              <w:t xml:space="preserve">Adapted from © </w:t>
                            </w:r>
                            <w:proofErr w:type="spellStart"/>
                            <w:r w:rsidR="00537CBF">
                              <w:rPr>
                                <w:rFonts w:ascii="Segoe UI" w:hAnsi="Segoe UI" w:cs="Segoe UI"/>
                                <w:sz w:val="12"/>
                                <w:szCs w:val="12"/>
                              </w:rPr>
                              <w:t>Shutterstock</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1CD98" id="_x0000_s1028" type="#_x0000_t202" style="position:absolute;margin-left:369.25pt;margin-top:63.45pt;width:124.8pt;height: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" stroked="f">
                <v:textbox>
                  <w:txbxContent>
                    <w:p w14:paraId="2E889B18" w14:textId="42346CF3" w:rsidR="007F730E" w:rsidRPr="00537CBF" w:rsidRDefault="007F730E" w:rsidP="00537CBF">
                      <w:pPr>
                        <w:jc w:val="right"/>
                        <w:rPr>
                          <w:rFonts w:ascii="Segoe UI" w:hAnsi="Segoe UI" w:cs="Segoe UI"/>
                          <w:sz w:val="12"/>
                          <w:szCs w:val="12"/>
                        </w:rPr>
                      </w:pPr>
                      <w:r w:rsidRPr="00537CBF">
                        <w:rPr>
                          <w:rFonts w:ascii="Segoe UI" w:hAnsi="Segoe UI" w:cs="Segoe UI"/>
                          <w:sz w:val="12"/>
                          <w:szCs w:val="12"/>
                        </w:rPr>
                        <w:t>Image © Royal Society of Chemistry</w:t>
                      </w:r>
                      <w:r w:rsidR="00537CBF">
                        <w:rPr>
                          <w:rFonts w:ascii="Segoe UI" w:hAnsi="Segoe UI" w:cs="Segoe UI"/>
                          <w:sz w:val="12"/>
                          <w:szCs w:val="12"/>
                        </w:rPr>
                        <w:t xml:space="preserve"> </w:t>
                      </w:r>
                      <w:r w:rsidR="00537CBF">
                        <w:rPr>
                          <w:rFonts w:ascii="Segoe UI" w:hAnsi="Segoe UI" w:cs="Segoe UI"/>
                          <w:sz w:val="12"/>
                          <w:szCs w:val="12"/>
                        </w:rPr>
                        <w:br/>
                        <w:t>Adapted from © Shutterstock</w:t>
                      </w:r>
                    </w:p>
                  </w:txbxContent>
                </v:textbox>
                <w10:wrap type="square" anchorx="margin"/>
              </v:shape>
            </w:pict>
          </mc:Fallback>
        </mc:AlternateContent>
      </w:r>
      <w:r w:rsidR="006274A3">
        <w:t>Using identical drinking glasses and an equal amount of water in each drink is important because it reduces the number of variables in the experiment. In this instance</w:t>
      </w:r>
      <w:r w:rsidR="52CBFE8B">
        <w:t>,</w:t>
      </w:r>
      <w:r w:rsidR="006274A3">
        <w:t xml:space="preserve"> the glasses and volume of water become our constants. The only variable should be the amount of blackcurrant </w:t>
      </w:r>
      <w:r w:rsidR="63413A79">
        <w:t>squash</w:t>
      </w:r>
      <w:r w:rsidR="73937C8A">
        <w:t xml:space="preserve"> </w:t>
      </w:r>
      <w:r w:rsidR="006274A3">
        <w:t>that is added to each drink sample. It is always important to discuss which are the constants and variables with learners, particularly when setting up experiments.</w:t>
      </w:r>
    </w:p>
    <w:p w14:paraId="09879D61" w14:textId="5FAF9DC8" w:rsidR="006274A3" w:rsidRDefault="006274A3" w:rsidP="006274A3">
      <w:r>
        <w:t xml:space="preserve">In </w:t>
      </w:r>
      <w:r w:rsidR="4192792C">
        <w:t xml:space="preserve">more </w:t>
      </w:r>
      <w:r>
        <w:t xml:space="preserve">diluted drinks there is only a small amount of blackcurrant </w:t>
      </w:r>
      <w:r w:rsidR="33A22BDB">
        <w:t xml:space="preserve">squash </w:t>
      </w:r>
      <w:r>
        <w:t>available to absorb the light. Most of our green light from the torch will pass straight through the drink and into the camera of the smart phone</w:t>
      </w:r>
      <w:r w:rsidR="23C7A67D">
        <w:t>,</w:t>
      </w:r>
      <w:r>
        <w:t xml:space="preserve"> giving us a large lux number. However, in </w:t>
      </w:r>
      <w:r w:rsidR="1D4DDC22">
        <w:t xml:space="preserve">more </w:t>
      </w:r>
      <w:r>
        <w:t xml:space="preserve">concentrated drinks there is more blackcurrant </w:t>
      </w:r>
      <w:r w:rsidR="5115DB91">
        <w:t xml:space="preserve">squash </w:t>
      </w:r>
      <w:r>
        <w:t>available to absorb the light. In this case</w:t>
      </w:r>
      <w:r w:rsidR="005D0267">
        <w:t>,</w:t>
      </w:r>
      <w:r>
        <w:t xml:space="preserve"> only a small amount of light will pass through the drink and into our smartphone camera</w:t>
      </w:r>
      <w:r w:rsidR="2766C0E0">
        <w:t>,</w:t>
      </w:r>
      <w:r>
        <w:t xml:space="preserve"> which wil</w:t>
      </w:r>
      <w:r w:rsidR="005D0267">
        <w:t>l give us a smaller lux number.</w:t>
      </w:r>
    </w:p>
    <w:p w14:paraId="32AD59F2" w14:textId="643535FA" w:rsidR="006274A3" w:rsidRPr="00402058" w:rsidRDefault="006274A3" w:rsidP="006274A3">
      <w:r>
        <w:t>External light will affect the results. Make sure to do the experiment away from other light sources like a window</w:t>
      </w:r>
      <w:r w:rsidR="608B04DC">
        <w:t>,</w:t>
      </w:r>
      <w:r>
        <w:t xml:space="preserve"> or perhaps set it up in</w:t>
      </w:r>
      <w:r w:rsidR="009464A7">
        <w:t xml:space="preserve"> a closed space </w:t>
      </w:r>
      <w:r w:rsidR="0BBC8956">
        <w:t xml:space="preserve">such as </w:t>
      </w:r>
      <w:r w:rsidR="009464A7">
        <w:t>a box</w:t>
      </w:r>
      <w:r w:rsidR="472E2AB2">
        <w:t>,</w:t>
      </w:r>
      <w:r w:rsidR="009464A7">
        <w:t xml:space="preserve"> etc.</w:t>
      </w:r>
    </w:p>
    <w:p w14:paraId="3F606C3C" w14:textId="77777777" w:rsidR="006274A3" w:rsidRDefault="006274A3" w:rsidP="006274A3">
      <w:pPr>
        <w:pStyle w:val="Heading2"/>
      </w:pPr>
      <w:r>
        <w:t>Also check out</w:t>
      </w:r>
    </w:p>
    <w:p w14:paraId="416654EB" w14:textId="29E9B794" w:rsidR="007705C4" w:rsidRPr="00AC639E" w:rsidRDefault="006274A3" w:rsidP="002A0E23">
      <w:pPr>
        <w:pStyle w:val="Bullets"/>
        <w:numPr>
          <w:ilvl w:val="0"/>
          <w:numId w:val="0"/>
        </w:numPr>
        <w:ind w:left="284" w:hanging="284"/>
      </w:pPr>
      <w:r>
        <w:t>You can take this activity further using the </w:t>
      </w:r>
      <w:proofErr w:type="spellStart"/>
      <w:r w:rsidR="00E84F19">
        <w:t>PhET</w:t>
      </w:r>
      <w:proofErr w:type="spellEnd"/>
      <w:r w:rsidR="00E84F19">
        <w:t xml:space="preserve"> </w:t>
      </w:r>
      <w:r w:rsidRPr="00402058">
        <w:t>Beer’s law simulation</w:t>
      </w:r>
      <w:r w:rsidR="00E84F19">
        <w:t xml:space="preserve">: </w:t>
      </w:r>
      <w:hyperlink r:id="rId15" w:history="1">
        <w:r w:rsidR="00E84F19" w:rsidRPr="002063C7">
          <w:rPr>
            <w:rStyle w:val="Hyperlink"/>
          </w:rPr>
          <w:t>rsc.li/3i9zjqa</w:t>
        </w:r>
      </w:hyperlink>
      <w:r w:rsidR="002A0E23">
        <w:t>.</w:t>
      </w:r>
    </w:p>
    <w:sectPr w:rsidR="007705C4" w:rsidRPr="00AC639E" w:rsidSect="00042CA7">
      <w:footerReference w:type="default" r:id="rId16"/>
      <w:headerReference w:type="first" r:id="rId17"/>
      <w:footerReference w:type="first" r:id="rId18"/>
      <w:type w:val="continuous"/>
      <w:pgSz w:w="11906" w:h="16838"/>
      <w:pgMar w:top="1440" w:right="1080" w:bottom="1440" w:left="108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F81068" w16cex:dateUtc="2021-01-11T18:06:46.615Z"/>
  <w16cex:commentExtensible w16cex:durableId="2B120133" w16cex:dateUtc="2021-01-11T18:03:26.18Z"/>
</w16cex:commentsExtensible>
</file>

<file path=word/commentsIds.xml><?xml version="1.0" encoding="utf-8"?>
<w16cid:commentsIds xmlns:mc="http://schemas.openxmlformats.org/markup-compatibility/2006" xmlns:w16cid="http://schemas.microsoft.com/office/word/2016/wordml/cid" mc:Ignorable="w16cid">
  <w16cid:commentId w16cid:paraId="15C6DFE8" w16cid:durableId="5AF6DFBB"/>
  <w16cid:commentId w16cid:paraId="4A423021" w16cid:durableId="26E8ED46"/>
  <w16cid:commentId w16cid:paraId="4AAFB36E" w16cid:durableId="3ED1FCAE"/>
  <w16cid:commentId w16cid:paraId="0B88811E" w16cid:durableId="04E26727"/>
  <w16cid:commentId w16cid:paraId="3C9DAAD2" w16cid:durableId="50B94CA2"/>
  <w16cid:commentId w16cid:paraId="650E8C40" w16cid:durableId="2B120133"/>
  <w16cid:commentId w16cid:paraId="6D0FE7D2" w16cid:durableId="1DF810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6F43" w14:textId="77777777" w:rsidR="000A53F1" w:rsidRDefault="000A53F1" w:rsidP="000D3D40">
      <w:r>
        <w:separator/>
      </w:r>
    </w:p>
  </w:endnote>
  <w:endnote w:type="continuationSeparator" w:id="0">
    <w:p w14:paraId="64B94045" w14:textId="77777777" w:rsidR="000A53F1" w:rsidRDefault="000A53F1"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CF2E2CA" w:rsidR="006F6F73" w:rsidRPr="00EE78E2" w:rsidRDefault="00EE78E2" w:rsidP="00EE78E2">
    <w:pPr>
      <w:pStyle w:val="Footer"/>
      <w:rPr>
        <w:sz w:val="16"/>
      </w:rPr>
    </w:pPr>
    <w:r w:rsidRPr="00EE78E2">
      <w:rPr>
        <w:rFonts w:ascii="Symbol" w:eastAsia="Symbol" w:hAnsi="Symbol" w:cs="Symbol"/>
        <w:sz w:val="16"/>
      </w:rPr>
      <w:t></w:t>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070A3">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070A3">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335E518" w:rsidR="00E15396" w:rsidRPr="00EE78E2" w:rsidRDefault="00520BDA" w:rsidP="00EE78E2">
    <w:pPr>
      <w:pStyle w:val="Footer"/>
      <w:rPr>
        <w:sz w:val="16"/>
      </w:rPr>
    </w:pPr>
    <w:r w:rsidRPr="00EE78E2">
      <w:rPr>
        <w:rFonts w:ascii="Symbol" w:eastAsia="Symbol" w:hAnsi="Symbol" w:cs="Symbol"/>
        <w:sz w:val="16"/>
      </w:rPr>
      <w:t></w:t>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5070A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5070A3">
      <w:rPr>
        <w:noProof/>
        <w:sz w:val="16"/>
      </w:rPr>
      <w:t>4</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8AAB" w14:textId="77777777" w:rsidR="000A53F1" w:rsidRDefault="000A53F1" w:rsidP="000D3D40">
      <w:r>
        <w:separator/>
      </w:r>
    </w:p>
  </w:footnote>
  <w:footnote w:type="continuationSeparator" w:id="0">
    <w:p w14:paraId="3BDAD7A5" w14:textId="77777777" w:rsidR="000A53F1" w:rsidRDefault="000A53F1"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57B7AE3C" w:rsidP="009875B2">
    <w:pPr>
      <w:pStyle w:val="Header"/>
      <w:jc w:val="right"/>
    </w:pPr>
    <w:r>
      <w:rPr>
        <w:noProof/>
        <w:lang w:eastAsia="en-GB"/>
      </w:rPr>
      <w:drawing>
        <wp:inline distT="0" distB="0" distL="0" distR="0" wp14:anchorId="0DE9AA0B" wp14:editId="2DAD2B05">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A53F1"/>
    <w:rsid w:val="000D3D40"/>
    <w:rsid w:val="000D440E"/>
    <w:rsid w:val="0010603F"/>
    <w:rsid w:val="00112D04"/>
    <w:rsid w:val="001167A2"/>
    <w:rsid w:val="00165309"/>
    <w:rsid w:val="00170457"/>
    <w:rsid w:val="0018383B"/>
    <w:rsid w:val="001B7EB7"/>
    <w:rsid w:val="001C55AE"/>
    <w:rsid w:val="001D1E2A"/>
    <w:rsid w:val="001D49DD"/>
    <w:rsid w:val="001D7818"/>
    <w:rsid w:val="001E0F30"/>
    <w:rsid w:val="001F2D6F"/>
    <w:rsid w:val="001F589D"/>
    <w:rsid w:val="00200C3D"/>
    <w:rsid w:val="00210131"/>
    <w:rsid w:val="002117FF"/>
    <w:rsid w:val="00220E27"/>
    <w:rsid w:val="00221F1D"/>
    <w:rsid w:val="00230BFF"/>
    <w:rsid w:val="00232BDF"/>
    <w:rsid w:val="0024620F"/>
    <w:rsid w:val="00274F1A"/>
    <w:rsid w:val="0028034B"/>
    <w:rsid w:val="00281035"/>
    <w:rsid w:val="00287576"/>
    <w:rsid w:val="00291C4D"/>
    <w:rsid w:val="00292178"/>
    <w:rsid w:val="002A0E23"/>
    <w:rsid w:val="002A3815"/>
    <w:rsid w:val="002B4D2A"/>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070A3"/>
    <w:rsid w:val="00510295"/>
    <w:rsid w:val="00515A5A"/>
    <w:rsid w:val="00520BDA"/>
    <w:rsid w:val="00537CBF"/>
    <w:rsid w:val="0054664B"/>
    <w:rsid w:val="005516AC"/>
    <w:rsid w:val="0056407C"/>
    <w:rsid w:val="005921E1"/>
    <w:rsid w:val="00596ABE"/>
    <w:rsid w:val="005A7495"/>
    <w:rsid w:val="005C02D2"/>
    <w:rsid w:val="005D0267"/>
    <w:rsid w:val="005D59BD"/>
    <w:rsid w:val="005D668B"/>
    <w:rsid w:val="005F1C11"/>
    <w:rsid w:val="005F451D"/>
    <w:rsid w:val="00600551"/>
    <w:rsid w:val="00613760"/>
    <w:rsid w:val="006274A3"/>
    <w:rsid w:val="00635F98"/>
    <w:rsid w:val="006437AB"/>
    <w:rsid w:val="006525C2"/>
    <w:rsid w:val="006532A6"/>
    <w:rsid w:val="00654FDB"/>
    <w:rsid w:val="00662B91"/>
    <w:rsid w:val="006646E6"/>
    <w:rsid w:val="0067206C"/>
    <w:rsid w:val="006758AB"/>
    <w:rsid w:val="00694F0B"/>
    <w:rsid w:val="006978DE"/>
    <w:rsid w:val="006D3E26"/>
    <w:rsid w:val="006E70D4"/>
    <w:rsid w:val="006F6F73"/>
    <w:rsid w:val="00707FDD"/>
    <w:rsid w:val="00714A35"/>
    <w:rsid w:val="00723F23"/>
    <w:rsid w:val="007358E3"/>
    <w:rsid w:val="0075451A"/>
    <w:rsid w:val="00755C7E"/>
    <w:rsid w:val="007667DD"/>
    <w:rsid w:val="007705C4"/>
    <w:rsid w:val="00784400"/>
    <w:rsid w:val="007A5E1E"/>
    <w:rsid w:val="007C1813"/>
    <w:rsid w:val="007C4328"/>
    <w:rsid w:val="007D50E0"/>
    <w:rsid w:val="007F730E"/>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E5C05"/>
    <w:rsid w:val="0090405B"/>
    <w:rsid w:val="00915C84"/>
    <w:rsid w:val="00923E53"/>
    <w:rsid w:val="009328DD"/>
    <w:rsid w:val="009377C3"/>
    <w:rsid w:val="009464A7"/>
    <w:rsid w:val="00972310"/>
    <w:rsid w:val="00982F78"/>
    <w:rsid w:val="009875B2"/>
    <w:rsid w:val="00987FC3"/>
    <w:rsid w:val="009C5777"/>
    <w:rsid w:val="009D4E77"/>
    <w:rsid w:val="009F0DFC"/>
    <w:rsid w:val="009F3445"/>
    <w:rsid w:val="00A065D9"/>
    <w:rsid w:val="00A42400"/>
    <w:rsid w:val="00A50EEB"/>
    <w:rsid w:val="00A52886"/>
    <w:rsid w:val="00A7542E"/>
    <w:rsid w:val="00A75F4C"/>
    <w:rsid w:val="00A9584B"/>
    <w:rsid w:val="00AB1738"/>
    <w:rsid w:val="00AC639E"/>
    <w:rsid w:val="00AE3702"/>
    <w:rsid w:val="00AE621F"/>
    <w:rsid w:val="00AE7C6A"/>
    <w:rsid w:val="00AF3542"/>
    <w:rsid w:val="00AF776F"/>
    <w:rsid w:val="00B20041"/>
    <w:rsid w:val="00B57B2A"/>
    <w:rsid w:val="00B95F0A"/>
    <w:rsid w:val="00BA512C"/>
    <w:rsid w:val="00BB1F22"/>
    <w:rsid w:val="00BB513D"/>
    <w:rsid w:val="00BE6499"/>
    <w:rsid w:val="00C17DDC"/>
    <w:rsid w:val="00C3053B"/>
    <w:rsid w:val="00CD10BF"/>
    <w:rsid w:val="00CD1262"/>
    <w:rsid w:val="00D063C3"/>
    <w:rsid w:val="00D15AA4"/>
    <w:rsid w:val="00D174D9"/>
    <w:rsid w:val="00D20A6A"/>
    <w:rsid w:val="00D34A04"/>
    <w:rsid w:val="00D35477"/>
    <w:rsid w:val="00D5111B"/>
    <w:rsid w:val="00D60214"/>
    <w:rsid w:val="00D62F8A"/>
    <w:rsid w:val="00D71A1A"/>
    <w:rsid w:val="00D90054"/>
    <w:rsid w:val="00DC64EC"/>
    <w:rsid w:val="00DD6FD3"/>
    <w:rsid w:val="00E03A2C"/>
    <w:rsid w:val="00E15396"/>
    <w:rsid w:val="00E160E0"/>
    <w:rsid w:val="00E17C67"/>
    <w:rsid w:val="00E331A7"/>
    <w:rsid w:val="00E40CCC"/>
    <w:rsid w:val="00E47850"/>
    <w:rsid w:val="00E47D2B"/>
    <w:rsid w:val="00E521F5"/>
    <w:rsid w:val="00E5491A"/>
    <w:rsid w:val="00E61773"/>
    <w:rsid w:val="00E84F19"/>
    <w:rsid w:val="00E86125"/>
    <w:rsid w:val="00EA0301"/>
    <w:rsid w:val="00EA0DFF"/>
    <w:rsid w:val="00EC0B8E"/>
    <w:rsid w:val="00ED609E"/>
    <w:rsid w:val="00EE78E2"/>
    <w:rsid w:val="00EF1342"/>
    <w:rsid w:val="00EF6E29"/>
    <w:rsid w:val="00F05BEA"/>
    <w:rsid w:val="00F25010"/>
    <w:rsid w:val="00F32AE0"/>
    <w:rsid w:val="00F33F60"/>
    <w:rsid w:val="00F47056"/>
    <w:rsid w:val="00F60031"/>
    <w:rsid w:val="00F76CF5"/>
    <w:rsid w:val="00F91DF0"/>
    <w:rsid w:val="00FA248D"/>
    <w:rsid w:val="00FA7F39"/>
    <w:rsid w:val="00FB66F1"/>
    <w:rsid w:val="00FC60FB"/>
    <w:rsid w:val="00FD3BA3"/>
    <w:rsid w:val="00FD3F2B"/>
    <w:rsid w:val="00FD6A79"/>
    <w:rsid w:val="00FF1180"/>
    <w:rsid w:val="0338B817"/>
    <w:rsid w:val="03D0C559"/>
    <w:rsid w:val="052B43D9"/>
    <w:rsid w:val="05909806"/>
    <w:rsid w:val="08C838C8"/>
    <w:rsid w:val="09065F26"/>
    <w:rsid w:val="0BBC8956"/>
    <w:rsid w:val="0D6DAE1A"/>
    <w:rsid w:val="1151C950"/>
    <w:rsid w:val="154EDF83"/>
    <w:rsid w:val="162DB08F"/>
    <w:rsid w:val="16DEF908"/>
    <w:rsid w:val="17D658DE"/>
    <w:rsid w:val="17E163B1"/>
    <w:rsid w:val="18BACB4C"/>
    <w:rsid w:val="196CBA70"/>
    <w:rsid w:val="1AC85B1B"/>
    <w:rsid w:val="1D4DDC22"/>
    <w:rsid w:val="1F2BEDEF"/>
    <w:rsid w:val="20C7BE50"/>
    <w:rsid w:val="23C7A67D"/>
    <w:rsid w:val="24D2A39A"/>
    <w:rsid w:val="259BC6EB"/>
    <w:rsid w:val="269CB8B4"/>
    <w:rsid w:val="2741B97E"/>
    <w:rsid w:val="2766C0E0"/>
    <w:rsid w:val="28834439"/>
    <w:rsid w:val="2A795A40"/>
    <w:rsid w:val="2B41E51E"/>
    <w:rsid w:val="2DFA7EA7"/>
    <w:rsid w:val="33202C52"/>
    <w:rsid w:val="33A22BDB"/>
    <w:rsid w:val="35F899D8"/>
    <w:rsid w:val="38515BE1"/>
    <w:rsid w:val="3A08AEF3"/>
    <w:rsid w:val="3B71C761"/>
    <w:rsid w:val="3B7CE809"/>
    <w:rsid w:val="3DC798C8"/>
    <w:rsid w:val="3EEB9E95"/>
    <w:rsid w:val="4192792C"/>
    <w:rsid w:val="42767C12"/>
    <w:rsid w:val="43257AF4"/>
    <w:rsid w:val="468980B8"/>
    <w:rsid w:val="472E2AB2"/>
    <w:rsid w:val="4C14436C"/>
    <w:rsid w:val="4F6176A4"/>
    <w:rsid w:val="506354E6"/>
    <w:rsid w:val="50FC6D73"/>
    <w:rsid w:val="5115DB91"/>
    <w:rsid w:val="51CF1A83"/>
    <w:rsid w:val="52CBFE8B"/>
    <w:rsid w:val="52DC05D3"/>
    <w:rsid w:val="566CB5B1"/>
    <w:rsid w:val="56C545A3"/>
    <w:rsid w:val="575FB07D"/>
    <w:rsid w:val="57B7AE3C"/>
    <w:rsid w:val="608B04DC"/>
    <w:rsid w:val="62B11C8C"/>
    <w:rsid w:val="63413A79"/>
    <w:rsid w:val="644B8813"/>
    <w:rsid w:val="65320AAA"/>
    <w:rsid w:val="65DC0297"/>
    <w:rsid w:val="6797BE7D"/>
    <w:rsid w:val="6A9EFF26"/>
    <w:rsid w:val="6FC6ACDC"/>
    <w:rsid w:val="72F7F4AA"/>
    <w:rsid w:val="73937C8A"/>
    <w:rsid w:val="7733D649"/>
    <w:rsid w:val="792A95E8"/>
    <w:rsid w:val="7B957870"/>
    <w:rsid w:val="7FD3A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15AA4"/>
    <w:rPr>
      <w:b/>
      <w:bCs/>
    </w:rPr>
  </w:style>
  <w:style w:type="character" w:customStyle="1" w:styleId="CommentSubjectChar">
    <w:name w:val="Comment Subject Char"/>
    <w:basedOn w:val="CommentTextChar"/>
    <w:link w:val="CommentSubject"/>
    <w:uiPriority w:val="99"/>
    <w:semiHidden/>
    <w:rsid w:val="00D15AA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eader" Target="header1.xml"/><Relationship Id="R811974b703024d9b"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46ef7c0439fa4a7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bCk0W2" TargetMode="External"/><Relationship Id="rId5" Type="http://schemas.openxmlformats.org/officeDocument/2006/relationships/styles" Target="styles.xml"/><Relationship Id="rId15" Type="http://schemas.openxmlformats.org/officeDocument/2006/relationships/hyperlink" Target="https://rsc.li/3i9zjqa" TargetMode="External"/><Relationship Id="rId10" Type="http://schemas.openxmlformats.org/officeDocument/2006/relationships/hyperlink" Target="https://rsc.li/2XFiZE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2555</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Smartphone spectroscopy</vt:lpstr>
    </vt:vector>
  </TitlesOfParts>
  <Company>Royal Society of Chemistry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Smartphone spectroscopy</dc:title>
  <dc:subject>From I ‘heart’ my smartwatch, Education in Chemistry, rsc.li/2XFiZE8</dc:subject>
  <dc:creator>Royal Society of Chemistry</dc:creator>
  <cp:keywords>spectroscopy, fitness, remote teaching, smartphone, smartwatch</cp:keywords>
  <dc:description/>
  <cp:lastModifiedBy>Lisa Clatworthy</cp:lastModifiedBy>
  <cp:revision>19</cp:revision>
  <dcterms:created xsi:type="dcterms:W3CDTF">2021-01-04T17:08:00Z</dcterms:created>
  <dcterms:modified xsi:type="dcterms:W3CDTF">2021-01-19T17:01:00Z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