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420E9B02" w:rsidR="00A42400" w:rsidRDefault="004F0F87" w:rsidP="00A42400">
      <w:pPr>
        <w:pStyle w:val="Heading1"/>
      </w:pPr>
      <w:r>
        <w:t xml:space="preserve">Bridging the macroscopic and sub-microscopic </w:t>
      </w:r>
      <w:r w:rsidR="00A123FE">
        <w:t>worlds</w:t>
      </w:r>
    </w:p>
    <w:p w14:paraId="1161FD3C" w14:textId="2CDC9B01" w:rsidR="007D50E0" w:rsidRDefault="009875B2" w:rsidP="007D50E0">
      <w:pPr>
        <w:pStyle w:val="Leadparagraph"/>
        <w:rPr>
          <w:rStyle w:val="LeadparagraphChar"/>
        </w:rPr>
      </w:pPr>
      <w:r w:rsidRPr="009875B2">
        <w:rPr>
          <w:rStyle w:val="LeadparagraphChar"/>
          <w:b/>
          <w:i/>
        </w:rPr>
        <w:t>Education in Chemistry</w:t>
      </w:r>
      <w:r>
        <w:rPr>
          <w:rStyle w:val="LeadparagraphChar"/>
          <w:b/>
        </w:rPr>
        <w:br/>
      </w:r>
      <w:r w:rsidR="00BC7AD1">
        <w:rPr>
          <w:rStyle w:val="LeadparagraphChar"/>
        </w:rPr>
        <w:t>September 2019</w:t>
      </w:r>
      <w:r w:rsidR="007D50E0">
        <w:rPr>
          <w:rStyle w:val="LeadparagraphChar"/>
        </w:rPr>
        <w:br/>
      </w:r>
      <w:hyperlink r:id="rId10" w:history="1">
        <w:r w:rsidR="00830B83" w:rsidRPr="00830B83">
          <w:rPr>
            <w:rStyle w:val="Hyperlink"/>
          </w:rPr>
          <w:t>rsc.li/2LVUXjW</w:t>
        </w:r>
      </w:hyperlink>
    </w:p>
    <w:p w14:paraId="4EA1E93B" w14:textId="33DCC48C" w:rsidR="00FA46B3" w:rsidRPr="00FA46B3" w:rsidRDefault="00FA46B3" w:rsidP="00FA46B3">
      <w:r w:rsidRPr="00FA46B3">
        <w:rPr>
          <w:b/>
          <w:bCs/>
        </w:rPr>
        <w:t xml:space="preserve">Aim: </w:t>
      </w:r>
      <w:r w:rsidRPr="00FA46B3">
        <w:t>to explicitly link the macroscopic observations from a practical to the sub</w:t>
      </w:r>
      <w:r>
        <w:t>-</w:t>
      </w:r>
      <w:r w:rsidRPr="00FA46B3">
        <w:t>microscopic explanations from an animation. Equations and formula</w:t>
      </w:r>
      <w:r>
        <w:t>s</w:t>
      </w:r>
      <w:r w:rsidRPr="00FA46B3">
        <w:t xml:space="preserve"> are used to bridge the two levels of thinking.  </w:t>
      </w:r>
    </w:p>
    <w:p w14:paraId="1F1ECE55" w14:textId="254302DF" w:rsidR="001D64A8" w:rsidRDefault="00FA46B3" w:rsidP="001D64A8">
      <w:r w:rsidRPr="00FA46B3">
        <w:rPr>
          <w:b/>
          <w:bCs/>
        </w:rPr>
        <w:t>Instructions</w:t>
      </w:r>
      <w:r>
        <w:rPr>
          <w:b/>
          <w:bCs/>
        </w:rPr>
        <w:t xml:space="preserve">: </w:t>
      </w:r>
      <w:r w:rsidRPr="00FA46B3">
        <w:t>Print this in A3 (you can edit this activity to make it easier by removing some of the formula</w:t>
      </w:r>
      <w:r>
        <w:t>s</w:t>
      </w:r>
      <w:r w:rsidRPr="00FA46B3">
        <w:t>). It’s important that students realise that in solution, there are no ionic solids here because they are all soluble and so exist as aqueous ions. Students work in pairs to carry out the practical and complete</w:t>
      </w:r>
      <w:r>
        <w:t xml:space="preserve"> the </w:t>
      </w:r>
      <w:proofErr w:type="gramStart"/>
      <w:r>
        <w:t>Macroscopic</w:t>
      </w:r>
      <w:proofErr w:type="gramEnd"/>
      <w:r>
        <w:t xml:space="preserve"> column</w:t>
      </w:r>
      <w:r w:rsidRPr="00FA46B3">
        <w:t xml:space="preserve"> – see </w:t>
      </w:r>
      <w:hyperlink r:id="rId11" w:history="1">
        <w:r w:rsidRPr="00FA46B3">
          <w:rPr>
            <w:rStyle w:val="Hyperlink"/>
          </w:rPr>
          <w:t>AQA for an example method</w:t>
        </w:r>
      </w:hyperlink>
      <w:bookmarkStart w:id="0" w:name="_GoBack"/>
      <w:bookmarkEnd w:id="0"/>
      <w:r w:rsidRPr="00FA46B3">
        <w:t>. Please perform your own risk assessment. Students then use an animation</w:t>
      </w:r>
      <w:r w:rsidR="00FD110A">
        <w:t xml:space="preserve"> (</w:t>
      </w:r>
      <w:r>
        <w:t xml:space="preserve">such as </w:t>
      </w:r>
      <w:hyperlink r:id="rId12" w:history="1">
        <w:r w:rsidRPr="00FA46B3">
          <w:rPr>
            <w:rStyle w:val="Hyperlink"/>
          </w:rPr>
          <w:t>this</w:t>
        </w:r>
      </w:hyperlink>
      <w:r w:rsidR="00FD110A">
        <w:t>)</w:t>
      </w:r>
      <w:r w:rsidR="00D3092C">
        <w:t>,</w:t>
      </w:r>
      <w:r w:rsidRPr="00FA46B3">
        <w:t xml:space="preserve"> video or simulation to complete the </w:t>
      </w:r>
      <w:r>
        <w:t>Sub-microscopic</w:t>
      </w:r>
      <w:r w:rsidR="00FD110A">
        <w:t xml:space="preserve"> column. </w:t>
      </w:r>
      <w:r w:rsidRPr="00FA46B3">
        <w:t>Th</w:t>
      </w:r>
      <w:r w:rsidR="00FD110A">
        <w:t xml:space="preserve">is could be done for homework. </w:t>
      </w:r>
      <w:r w:rsidRPr="00FA46B3">
        <w:t xml:space="preserve">An example is </w:t>
      </w:r>
      <w:r w:rsidR="001D64A8">
        <w:t>overleaf</w:t>
      </w:r>
      <w:r w:rsidRPr="00FA46B3">
        <w:t>:</w:t>
      </w:r>
    </w:p>
    <w:p w14:paraId="5462D801" w14:textId="77777777" w:rsidR="001D64A8" w:rsidRDefault="001D64A8">
      <w:pPr>
        <w:keepLines w:val="0"/>
        <w:spacing w:before="200" w:after="0"/>
      </w:pPr>
      <w:r>
        <w:br w:type="page"/>
      </w:r>
    </w:p>
    <w:tbl>
      <w:tblPr>
        <w:tblStyle w:val="TableGrid"/>
        <w:tblW w:w="0" w:type="auto"/>
        <w:tblLook w:val="0400" w:firstRow="0" w:lastRow="0" w:firstColumn="0" w:lastColumn="0" w:noHBand="0" w:noVBand="1"/>
      </w:tblPr>
      <w:tblGrid>
        <w:gridCol w:w="2737"/>
        <w:gridCol w:w="4337"/>
        <w:gridCol w:w="2712"/>
        <w:gridCol w:w="4206"/>
      </w:tblGrid>
      <w:tr w:rsidR="00830B83" w14:paraId="6D42FDD2" w14:textId="77777777" w:rsidTr="00396F17">
        <w:trPr>
          <w:trHeight w:val="268"/>
        </w:trPr>
        <w:tc>
          <w:tcPr>
            <w:tcW w:w="2737" w:type="dxa"/>
          </w:tcPr>
          <w:p w14:paraId="586D14A2" w14:textId="77777777" w:rsidR="00BC7AD1" w:rsidRDefault="00BC7AD1" w:rsidP="00AE621F">
            <w:pPr>
              <w:pStyle w:val="Numberedlist"/>
              <w:numPr>
                <w:ilvl w:val="0"/>
                <w:numId w:val="0"/>
              </w:numPr>
            </w:pPr>
          </w:p>
        </w:tc>
        <w:tc>
          <w:tcPr>
            <w:tcW w:w="4337" w:type="dxa"/>
          </w:tcPr>
          <w:p w14:paraId="6BBD777F" w14:textId="0C6A8DCE" w:rsidR="00BC7AD1" w:rsidRPr="00BC7AD1" w:rsidRDefault="00BC7AD1" w:rsidP="00AE621F">
            <w:pPr>
              <w:pStyle w:val="Numberedlist"/>
              <w:numPr>
                <w:ilvl w:val="0"/>
                <w:numId w:val="0"/>
              </w:numPr>
              <w:rPr>
                <w:b/>
              </w:rPr>
            </w:pPr>
            <w:r w:rsidRPr="00BC7AD1">
              <w:rPr>
                <w:b/>
              </w:rPr>
              <w:t>Macroscopic</w:t>
            </w:r>
          </w:p>
        </w:tc>
        <w:tc>
          <w:tcPr>
            <w:tcW w:w="2712" w:type="dxa"/>
          </w:tcPr>
          <w:p w14:paraId="5E9E2B83" w14:textId="31B7DAC1" w:rsidR="00BC7AD1" w:rsidRPr="00BC7AD1" w:rsidRDefault="00BC7AD1" w:rsidP="00AE621F">
            <w:pPr>
              <w:pStyle w:val="Numberedlist"/>
              <w:numPr>
                <w:ilvl w:val="0"/>
                <w:numId w:val="0"/>
              </w:numPr>
              <w:rPr>
                <w:b/>
              </w:rPr>
            </w:pPr>
            <w:r w:rsidRPr="00BC7AD1">
              <w:rPr>
                <w:b/>
              </w:rPr>
              <w:t>Symbolic</w:t>
            </w:r>
          </w:p>
        </w:tc>
        <w:tc>
          <w:tcPr>
            <w:tcW w:w="4206" w:type="dxa"/>
          </w:tcPr>
          <w:p w14:paraId="74F81B7A" w14:textId="4DDCE8DF" w:rsidR="00BC7AD1" w:rsidRPr="00BC7AD1" w:rsidRDefault="00BC7AD1" w:rsidP="00AE621F">
            <w:pPr>
              <w:pStyle w:val="Numberedlist"/>
              <w:numPr>
                <w:ilvl w:val="0"/>
                <w:numId w:val="0"/>
              </w:numPr>
              <w:rPr>
                <w:b/>
              </w:rPr>
            </w:pPr>
            <w:r w:rsidRPr="00BC7AD1">
              <w:rPr>
                <w:b/>
              </w:rPr>
              <w:t>Sub-microscopic</w:t>
            </w:r>
          </w:p>
        </w:tc>
      </w:tr>
      <w:tr w:rsidR="00830B83" w14:paraId="4F1BCF5A" w14:textId="77777777" w:rsidTr="00396F17">
        <w:trPr>
          <w:trHeight w:val="4571"/>
        </w:trPr>
        <w:tc>
          <w:tcPr>
            <w:tcW w:w="2737" w:type="dxa"/>
          </w:tcPr>
          <w:p w14:paraId="3E104DB6" w14:textId="5EABDDA4" w:rsidR="00BC7AD1" w:rsidRDefault="00BC7AD1" w:rsidP="00AE621F">
            <w:pPr>
              <w:pStyle w:val="Numberedlist"/>
              <w:numPr>
                <w:ilvl w:val="0"/>
                <w:numId w:val="0"/>
              </w:numPr>
            </w:pPr>
            <w:r w:rsidRPr="00BC7AD1">
              <w:rPr>
                <w:b/>
              </w:rPr>
              <w:t>Before electrolysis</w:t>
            </w:r>
            <w:r>
              <w:br/>
              <w:t>Add 1.5 g of sodium chloride to 50 cm</w:t>
            </w:r>
            <w:r w:rsidRPr="00396F17">
              <w:rPr>
                <w:vertAlign w:val="superscript"/>
              </w:rPr>
              <w:t>3</w:t>
            </w:r>
            <w:r>
              <w:t xml:space="preserve"> of water in a beaker and stir.</w:t>
            </w:r>
          </w:p>
        </w:tc>
        <w:tc>
          <w:tcPr>
            <w:tcW w:w="4337" w:type="dxa"/>
          </w:tcPr>
          <w:p w14:paraId="35AB42C4" w14:textId="4A2FBEEB" w:rsidR="00396F17" w:rsidRPr="00396F17" w:rsidRDefault="00BC7AD1" w:rsidP="00BC7AD1">
            <w:pPr>
              <w:pStyle w:val="Numberedlist"/>
            </w:pPr>
            <w:r w:rsidRPr="00BC7AD1">
              <w:rPr>
                <w:b/>
                <w:bCs/>
                <w:iCs/>
              </w:rPr>
              <w:t xml:space="preserve">Complete the diagram during the practical </w:t>
            </w:r>
            <w:r w:rsidRPr="00BC7AD1">
              <w:rPr>
                <w:iCs/>
              </w:rPr>
              <w:t>to show what you observed after sodium chloride was added to water and stirred. Label the diagram – making sure you use some of the formula</w:t>
            </w:r>
            <w:r w:rsidR="00FA46B3">
              <w:rPr>
                <w:iCs/>
              </w:rPr>
              <w:t>s</w:t>
            </w:r>
            <w:r w:rsidRPr="00BC7AD1">
              <w:rPr>
                <w:iCs/>
              </w:rPr>
              <w:t xml:space="preserve"> from the </w:t>
            </w:r>
            <w:r>
              <w:rPr>
                <w:iCs/>
              </w:rPr>
              <w:t>Symbolic</w:t>
            </w:r>
            <w:r w:rsidRPr="00BC7AD1">
              <w:rPr>
                <w:iCs/>
              </w:rPr>
              <w:t xml:space="preserve"> column. The salt container has been done for you. </w:t>
            </w:r>
            <w:r w:rsidR="00396F17">
              <w:rPr>
                <w:iCs/>
              </w:rPr>
              <w:br/>
            </w:r>
            <w:r w:rsidR="00396F17">
              <w:rPr>
                <w:iCs/>
              </w:rPr>
              <w:br/>
            </w:r>
          </w:p>
          <w:p w14:paraId="0506BA94" w14:textId="08F18C97" w:rsidR="00BC7AD1" w:rsidRPr="00BC7AD1" w:rsidRDefault="001D64A8" w:rsidP="00396F17">
            <w:pPr>
              <w:pStyle w:val="Numberedlist"/>
              <w:numPr>
                <w:ilvl w:val="0"/>
                <w:numId w:val="0"/>
              </w:numPr>
              <w:ind w:left="360"/>
            </w:pPr>
            <w:r w:rsidRPr="00376145">
              <w:rPr>
                <w:noProof/>
                <w:lang w:eastAsia="en-GB"/>
              </w:rPr>
              <w:drawing>
                <wp:anchor distT="0" distB="0" distL="114300" distR="114300" simplePos="0" relativeHeight="251660288" behindDoc="0" locked="0" layoutInCell="1" allowOverlap="1" wp14:anchorId="59169472" wp14:editId="44B8B7E4">
                  <wp:simplePos x="0" y="0"/>
                  <wp:positionH relativeFrom="column">
                    <wp:posOffset>233045</wp:posOffset>
                  </wp:positionH>
                  <wp:positionV relativeFrom="paragraph">
                    <wp:posOffset>52705</wp:posOffset>
                  </wp:positionV>
                  <wp:extent cx="1980000" cy="1533600"/>
                  <wp:effectExtent l="0" t="0" r="1270" b="9525"/>
                  <wp:wrapSquare wrapText="bothSides"/>
                  <wp:docPr id="2" name="Picture 2" descr="C:\Users\clatworthyl\AppData\Local\Microsoft\Windows\INetCache\Content.Word\Salt-and-beak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tworthyl\AppData\Local\Microsoft\Windows\INetCache\Content.Word\Salt-and-beaker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0" cy="1533600"/>
                          </a:xfrm>
                          <a:prstGeom prst="rect">
                            <a:avLst/>
                          </a:prstGeom>
                          <a:noFill/>
                          <a:ln>
                            <a:noFill/>
                          </a:ln>
                        </pic:spPr>
                      </pic:pic>
                    </a:graphicData>
                  </a:graphic>
                </wp:anchor>
              </w:drawing>
            </w:r>
          </w:p>
          <w:p w14:paraId="128212AA" w14:textId="77777777" w:rsidR="00BC7AD1" w:rsidRPr="00BC7AD1" w:rsidRDefault="00BC7AD1" w:rsidP="00AE621F">
            <w:pPr>
              <w:pStyle w:val="Numberedlist"/>
              <w:numPr>
                <w:ilvl w:val="0"/>
                <w:numId w:val="0"/>
              </w:numPr>
            </w:pPr>
          </w:p>
        </w:tc>
        <w:tc>
          <w:tcPr>
            <w:tcW w:w="2712" w:type="dxa"/>
          </w:tcPr>
          <w:p w14:paraId="12B7D3B0" w14:textId="77777777" w:rsidR="00FA46B3" w:rsidRPr="00FA46B3" w:rsidRDefault="00FA46B3" w:rsidP="00FA46B3">
            <w:pPr>
              <w:pStyle w:val="Numberedlist"/>
              <w:numPr>
                <w:ilvl w:val="0"/>
                <w:numId w:val="0"/>
              </w:numPr>
              <w:ind w:left="340" w:hanging="340"/>
            </w:pPr>
            <w:proofErr w:type="spellStart"/>
            <w:r w:rsidRPr="00FA46B3">
              <w:t>NaCl</w:t>
            </w:r>
            <w:proofErr w:type="spellEnd"/>
            <w:r w:rsidRPr="00FA46B3">
              <w:t xml:space="preserve">(s) </w:t>
            </w:r>
            <w:r w:rsidRPr="00FA46B3">
              <w:sym w:font="Wingdings" w:char="F0E0"/>
            </w:r>
            <w:r w:rsidRPr="00FA46B3">
              <w:t xml:space="preserve"> Na</w:t>
            </w:r>
            <w:r w:rsidRPr="00FA46B3">
              <w:rPr>
                <w:vertAlign w:val="superscript"/>
              </w:rPr>
              <w:t>+</w:t>
            </w:r>
            <w:r w:rsidRPr="00FA46B3">
              <w:t>(</w:t>
            </w:r>
            <w:proofErr w:type="spellStart"/>
            <w:r w:rsidRPr="00FA46B3">
              <w:t>aq</w:t>
            </w:r>
            <w:proofErr w:type="spellEnd"/>
            <w:r w:rsidRPr="00FA46B3">
              <w:t>) + Cl</w:t>
            </w:r>
            <w:r w:rsidRPr="00FA46B3">
              <w:rPr>
                <w:vertAlign w:val="superscript"/>
              </w:rPr>
              <w:t>-</w:t>
            </w:r>
            <w:r w:rsidRPr="00FA46B3">
              <w:t>(</w:t>
            </w:r>
            <w:proofErr w:type="spellStart"/>
            <w:r w:rsidRPr="00FA46B3">
              <w:t>aq</w:t>
            </w:r>
            <w:proofErr w:type="spellEnd"/>
            <w:r w:rsidRPr="00FA46B3">
              <w:t xml:space="preserve">) </w:t>
            </w:r>
          </w:p>
          <w:p w14:paraId="6963D57E" w14:textId="77777777" w:rsidR="00FA46B3" w:rsidRDefault="00FA46B3" w:rsidP="00FA46B3">
            <w:pPr>
              <w:pStyle w:val="Numberedlist"/>
              <w:numPr>
                <w:ilvl w:val="0"/>
                <w:numId w:val="0"/>
              </w:numPr>
              <w:ind w:left="340" w:hanging="340"/>
            </w:pPr>
          </w:p>
          <w:p w14:paraId="78B48C37" w14:textId="480E5871" w:rsidR="00FA46B3" w:rsidRPr="00FA46B3" w:rsidRDefault="00FA46B3" w:rsidP="00FA46B3">
            <w:pPr>
              <w:pStyle w:val="Numberedlist"/>
              <w:numPr>
                <w:ilvl w:val="0"/>
                <w:numId w:val="0"/>
              </w:numPr>
              <w:ind w:left="340" w:hanging="340"/>
            </w:pPr>
            <w:r w:rsidRPr="00FA46B3">
              <w:t>H</w:t>
            </w:r>
            <w:r w:rsidRPr="00FA46B3">
              <w:rPr>
                <w:vertAlign w:val="subscript"/>
              </w:rPr>
              <w:t>2</w:t>
            </w:r>
            <w:r w:rsidRPr="00FA46B3">
              <w:t xml:space="preserve">O(l) </w:t>
            </w:r>
            <w:r w:rsidRPr="00FA46B3">
              <w:rPr>
                <w:rFonts w:ascii="Cambria Math" w:hAnsi="Cambria Math" w:cs="Cambria Math"/>
                <w:b/>
                <w:bCs/>
              </w:rPr>
              <w:t>⇌</w:t>
            </w:r>
            <w:r w:rsidRPr="00FA46B3">
              <w:rPr>
                <w:b/>
                <w:bCs/>
              </w:rPr>
              <w:t xml:space="preserve"> </w:t>
            </w:r>
            <w:r w:rsidRPr="00FA46B3">
              <w:t>H</w:t>
            </w:r>
            <w:r w:rsidRPr="00FA46B3">
              <w:rPr>
                <w:vertAlign w:val="superscript"/>
              </w:rPr>
              <w:t>+</w:t>
            </w:r>
            <w:r w:rsidRPr="00FA46B3">
              <w:t>(</w:t>
            </w:r>
            <w:proofErr w:type="spellStart"/>
            <w:r w:rsidRPr="00FA46B3">
              <w:t>aq</w:t>
            </w:r>
            <w:proofErr w:type="spellEnd"/>
            <w:r w:rsidRPr="00FA46B3">
              <w:t>) + OH</w:t>
            </w:r>
            <w:r w:rsidRPr="00FA46B3">
              <w:rPr>
                <w:vertAlign w:val="superscript"/>
              </w:rPr>
              <w:t>-</w:t>
            </w:r>
            <w:r w:rsidRPr="00FA46B3">
              <w:t>(</w:t>
            </w:r>
            <w:proofErr w:type="spellStart"/>
            <w:r w:rsidRPr="00FA46B3">
              <w:t>aq</w:t>
            </w:r>
            <w:proofErr w:type="spellEnd"/>
            <w:r w:rsidRPr="00FA46B3">
              <w:t>)</w:t>
            </w:r>
          </w:p>
          <w:p w14:paraId="2312CB8B" w14:textId="0CBDBD52" w:rsidR="00BC7AD1" w:rsidRDefault="00BC7AD1" w:rsidP="00AE621F">
            <w:pPr>
              <w:pStyle w:val="Numberedlist"/>
              <w:numPr>
                <w:ilvl w:val="0"/>
                <w:numId w:val="0"/>
              </w:numPr>
            </w:pPr>
          </w:p>
        </w:tc>
        <w:tc>
          <w:tcPr>
            <w:tcW w:w="4206" w:type="dxa"/>
          </w:tcPr>
          <w:p w14:paraId="2317476C" w14:textId="15749A11" w:rsidR="00BC7AD1" w:rsidRDefault="00396F17" w:rsidP="00396F17">
            <w:pPr>
              <w:pStyle w:val="Numberedlist"/>
              <w:numPr>
                <w:ilvl w:val="0"/>
                <w:numId w:val="9"/>
              </w:numPr>
            </w:pPr>
            <w:r>
              <w:rPr>
                <w:noProof/>
                <w:lang w:eastAsia="en-GB"/>
              </w:rPr>
              <w:drawing>
                <wp:anchor distT="0" distB="0" distL="114300" distR="114300" simplePos="0" relativeHeight="251661312" behindDoc="0" locked="0" layoutInCell="1" allowOverlap="1" wp14:anchorId="69E587B9" wp14:editId="36CF9FB6">
                  <wp:simplePos x="0" y="0"/>
                  <wp:positionH relativeFrom="column">
                    <wp:posOffset>157480</wp:posOffset>
                  </wp:positionH>
                  <wp:positionV relativeFrom="paragraph">
                    <wp:posOffset>1322070</wp:posOffset>
                  </wp:positionV>
                  <wp:extent cx="2208530" cy="1579245"/>
                  <wp:effectExtent l="0" t="0" r="1270" b="1905"/>
                  <wp:wrapSquare wrapText="bothSides"/>
                  <wp:docPr id="3" name="Picture 3" descr="C:\Users\clatworthyl\AppData\Local\Microsoft\Windows\INetCache\Content.Word\Salt-and-beak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latworthyl\AppData\Local\Microsoft\Windows\INetCache\Content.Word\Salt-and-beaker_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8530" cy="1579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6B3" w:rsidRPr="00FA46B3">
              <w:rPr>
                <w:b/>
                <w:bCs/>
              </w:rPr>
              <w:t xml:space="preserve">Complete the diagram </w:t>
            </w:r>
            <w:r w:rsidR="00FA46B3" w:rsidRPr="00FA46B3">
              <w:t xml:space="preserve">once you have </w:t>
            </w:r>
            <w:r w:rsidR="00FA46B3" w:rsidRPr="00FA46B3">
              <w:rPr>
                <w:b/>
                <w:bCs/>
              </w:rPr>
              <w:t xml:space="preserve">watched an animation </w:t>
            </w:r>
            <w:r w:rsidR="00FA46B3" w:rsidRPr="00FA46B3">
              <w:t>imagining you can see the ions and molecules present in a beaker of sodium chloride solution. Label the diagram – making sure you use some of the formula</w:t>
            </w:r>
            <w:r w:rsidR="00FA46B3">
              <w:t>s</w:t>
            </w:r>
            <w:r w:rsidR="00FA46B3" w:rsidRPr="00FA46B3">
              <w:t xml:space="preserve"> from the </w:t>
            </w:r>
            <w:r w:rsidR="00FA46B3">
              <w:t>Symbolic</w:t>
            </w:r>
            <w:r w:rsidR="00830B83">
              <w:t xml:space="preserve"> column.</w:t>
            </w:r>
            <w:r>
              <w:br/>
            </w:r>
            <w:r>
              <w:br/>
            </w:r>
          </w:p>
        </w:tc>
      </w:tr>
      <w:tr w:rsidR="00830B83" w14:paraId="0D2C7B38" w14:textId="77777777" w:rsidTr="00396F17">
        <w:trPr>
          <w:trHeight w:val="3659"/>
        </w:trPr>
        <w:tc>
          <w:tcPr>
            <w:tcW w:w="2737" w:type="dxa"/>
          </w:tcPr>
          <w:p w14:paraId="78EE96B8" w14:textId="342CB0E4" w:rsidR="00BC7AD1" w:rsidRDefault="00BC7AD1" w:rsidP="00AE621F">
            <w:pPr>
              <w:pStyle w:val="Numberedlist"/>
              <w:numPr>
                <w:ilvl w:val="0"/>
                <w:numId w:val="0"/>
              </w:numPr>
            </w:pPr>
            <w:r w:rsidRPr="00BC7AD1">
              <w:rPr>
                <w:b/>
              </w:rPr>
              <w:t>During electrolysis</w:t>
            </w:r>
            <w:r>
              <w:br/>
              <w:t>Now carry out electrolysis on this solution</w:t>
            </w:r>
          </w:p>
        </w:tc>
        <w:tc>
          <w:tcPr>
            <w:tcW w:w="4337" w:type="dxa"/>
          </w:tcPr>
          <w:p w14:paraId="4119DFC5" w14:textId="1F0562F1" w:rsidR="00BC7AD1" w:rsidRPr="00830B83" w:rsidRDefault="00BC7AD1" w:rsidP="00830B83">
            <w:pPr>
              <w:pStyle w:val="Numberedlist"/>
              <w:numPr>
                <w:ilvl w:val="0"/>
                <w:numId w:val="8"/>
              </w:numPr>
            </w:pPr>
            <w:r w:rsidRPr="00FA46B3">
              <w:rPr>
                <w:b/>
                <w:bCs/>
                <w:iCs/>
              </w:rPr>
              <w:t xml:space="preserve">Complete the diagram during the practical </w:t>
            </w:r>
            <w:r w:rsidRPr="00FA46B3">
              <w:rPr>
                <w:iCs/>
              </w:rPr>
              <w:t>to show what you observed during electrolysis. Label the diagram – making sure you use some of the formulas from the Symbolic column.</w:t>
            </w:r>
            <w:r w:rsidR="00396F17">
              <w:rPr>
                <w:iCs/>
              </w:rPr>
              <w:br/>
            </w:r>
          </w:p>
          <w:p w14:paraId="741907AD" w14:textId="6970C680" w:rsidR="00830B83" w:rsidRDefault="00830B83" w:rsidP="00830B83">
            <w:pPr>
              <w:pStyle w:val="Numberedlist"/>
              <w:numPr>
                <w:ilvl w:val="0"/>
                <w:numId w:val="0"/>
              </w:numPr>
              <w:ind w:left="360"/>
            </w:pPr>
            <w:r>
              <w:rPr>
                <w:noProof/>
                <w:lang w:eastAsia="en-GB"/>
              </w:rPr>
              <w:drawing>
                <wp:anchor distT="0" distB="0" distL="114300" distR="114300" simplePos="0" relativeHeight="251659264" behindDoc="0" locked="0" layoutInCell="1" allowOverlap="1" wp14:anchorId="0519714F" wp14:editId="583BFF83">
                  <wp:simplePos x="0" y="0"/>
                  <wp:positionH relativeFrom="column">
                    <wp:posOffset>233045</wp:posOffset>
                  </wp:positionH>
                  <wp:positionV relativeFrom="paragraph">
                    <wp:posOffset>62230</wp:posOffset>
                  </wp:positionV>
                  <wp:extent cx="1755775" cy="12617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5775" cy="1261745"/>
                          </a:xfrm>
                          <a:prstGeom prst="rect">
                            <a:avLst/>
                          </a:prstGeom>
                          <a:noFill/>
                        </pic:spPr>
                      </pic:pic>
                    </a:graphicData>
                  </a:graphic>
                </wp:anchor>
              </w:drawing>
            </w:r>
          </w:p>
        </w:tc>
        <w:tc>
          <w:tcPr>
            <w:tcW w:w="2712" w:type="dxa"/>
          </w:tcPr>
          <w:p w14:paraId="76CADA57" w14:textId="06E5E7C2" w:rsidR="00FA46B3" w:rsidRDefault="00FA46B3" w:rsidP="00FA46B3">
            <w:pPr>
              <w:pStyle w:val="Numberedlist"/>
              <w:numPr>
                <w:ilvl w:val="0"/>
                <w:numId w:val="0"/>
              </w:numPr>
              <w:ind w:left="340" w:hanging="340"/>
            </w:pPr>
            <w:r w:rsidRPr="00FA46B3">
              <w:t>2H</w:t>
            </w:r>
            <w:r w:rsidRPr="00FA46B3">
              <w:rPr>
                <w:vertAlign w:val="superscript"/>
              </w:rPr>
              <w:t>+</w:t>
            </w:r>
            <w:r w:rsidRPr="00FA46B3">
              <w:t>(</w:t>
            </w:r>
            <w:proofErr w:type="spellStart"/>
            <w:r w:rsidRPr="00FA46B3">
              <w:t>aq</w:t>
            </w:r>
            <w:proofErr w:type="spellEnd"/>
            <w:r w:rsidRPr="00FA46B3">
              <w:t>) + 2e</w:t>
            </w:r>
            <w:r w:rsidRPr="00FA46B3">
              <w:rPr>
                <w:vertAlign w:val="superscript"/>
              </w:rPr>
              <w:t xml:space="preserve">- </w:t>
            </w:r>
            <w:r w:rsidRPr="00FA46B3">
              <w:sym w:font="Wingdings" w:char="F0E0"/>
            </w:r>
            <w:r w:rsidRPr="00FA46B3">
              <w:t xml:space="preserve"> H</w:t>
            </w:r>
            <w:r w:rsidRPr="00FA46B3">
              <w:rPr>
                <w:vertAlign w:val="subscript"/>
              </w:rPr>
              <w:t>2</w:t>
            </w:r>
            <w:r w:rsidRPr="00FA46B3">
              <w:t>(g)</w:t>
            </w:r>
          </w:p>
          <w:p w14:paraId="3CF8A304" w14:textId="45339134" w:rsidR="00FA46B3" w:rsidRDefault="00FA46B3" w:rsidP="00FA46B3">
            <w:pPr>
              <w:pStyle w:val="Numberedlist"/>
              <w:numPr>
                <w:ilvl w:val="0"/>
                <w:numId w:val="0"/>
              </w:numPr>
              <w:ind w:left="340" w:hanging="340"/>
            </w:pPr>
          </w:p>
          <w:p w14:paraId="776F5744" w14:textId="3F27C8A5" w:rsidR="00FA46B3" w:rsidRDefault="00FA46B3" w:rsidP="00FA46B3">
            <w:pPr>
              <w:pStyle w:val="Numberedlist"/>
              <w:numPr>
                <w:ilvl w:val="0"/>
                <w:numId w:val="0"/>
              </w:numPr>
              <w:ind w:left="340" w:hanging="340"/>
              <w:rPr>
                <w:vertAlign w:val="superscript"/>
              </w:rPr>
            </w:pPr>
            <w:r w:rsidRPr="00FA46B3">
              <w:t>2Cl</w:t>
            </w:r>
            <w:r w:rsidRPr="00FA46B3">
              <w:rPr>
                <w:vertAlign w:val="superscript"/>
              </w:rPr>
              <w:t>-</w:t>
            </w:r>
            <w:r w:rsidRPr="00FA46B3">
              <w:t>(</w:t>
            </w:r>
            <w:proofErr w:type="spellStart"/>
            <w:r w:rsidRPr="00FA46B3">
              <w:t>aq</w:t>
            </w:r>
            <w:proofErr w:type="spellEnd"/>
            <w:r w:rsidRPr="00FA46B3">
              <w:t xml:space="preserve">) </w:t>
            </w:r>
            <w:r w:rsidRPr="00FA46B3">
              <w:sym w:font="Wingdings" w:char="F0E0"/>
            </w:r>
            <w:r w:rsidRPr="00FA46B3">
              <w:t xml:space="preserve"> Cl</w:t>
            </w:r>
            <w:r w:rsidRPr="00FA46B3">
              <w:rPr>
                <w:vertAlign w:val="subscript"/>
              </w:rPr>
              <w:t xml:space="preserve">2 </w:t>
            </w:r>
            <w:r w:rsidRPr="00FA46B3">
              <w:t>(g) + 2e</w:t>
            </w:r>
            <w:r w:rsidRPr="00FA46B3">
              <w:rPr>
                <w:vertAlign w:val="superscript"/>
              </w:rPr>
              <w:t xml:space="preserve">- </w:t>
            </w:r>
          </w:p>
          <w:p w14:paraId="74494A04" w14:textId="04B9DF08" w:rsidR="00FA46B3" w:rsidRDefault="00FA46B3" w:rsidP="00FA46B3">
            <w:pPr>
              <w:pStyle w:val="Numberedlist"/>
              <w:numPr>
                <w:ilvl w:val="0"/>
                <w:numId w:val="0"/>
              </w:numPr>
              <w:ind w:left="340" w:hanging="340"/>
              <w:rPr>
                <w:vertAlign w:val="superscript"/>
              </w:rPr>
            </w:pPr>
          </w:p>
          <w:p w14:paraId="028CC54F" w14:textId="77777777" w:rsidR="00FA46B3" w:rsidRDefault="00FA46B3" w:rsidP="00FA46B3">
            <w:pPr>
              <w:pStyle w:val="Numberedlist"/>
              <w:numPr>
                <w:ilvl w:val="0"/>
                <w:numId w:val="0"/>
              </w:numPr>
              <w:ind w:left="340" w:hanging="340"/>
            </w:pPr>
            <w:r w:rsidRPr="00FA46B3">
              <w:t>Na</w:t>
            </w:r>
            <w:r w:rsidRPr="00FA46B3">
              <w:rPr>
                <w:vertAlign w:val="superscript"/>
              </w:rPr>
              <w:t>+</w:t>
            </w:r>
            <w:r w:rsidRPr="00FA46B3">
              <w:t>(</w:t>
            </w:r>
            <w:proofErr w:type="spellStart"/>
            <w:r w:rsidRPr="00FA46B3">
              <w:t>aq</w:t>
            </w:r>
            <w:proofErr w:type="spellEnd"/>
            <w:r w:rsidRPr="00FA46B3">
              <w:t xml:space="preserve">) </w:t>
            </w:r>
          </w:p>
          <w:p w14:paraId="178220EF" w14:textId="77777777" w:rsidR="00FA46B3" w:rsidRDefault="00FA46B3" w:rsidP="00FA46B3">
            <w:pPr>
              <w:pStyle w:val="Numberedlist"/>
              <w:numPr>
                <w:ilvl w:val="0"/>
                <w:numId w:val="0"/>
              </w:numPr>
              <w:ind w:left="340" w:hanging="340"/>
            </w:pPr>
          </w:p>
          <w:p w14:paraId="7E403F9D" w14:textId="4AA42DE9" w:rsidR="00FA46B3" w:rsidRPr="00FA46B3" w:rsidRDefault="00FA46B3" w:rsidP="00FA46B3">
            <w:pPr>
              <w:pStyle w:val="Numberedlist"/>
              <w:numPr>
                <w:ilvl w:val="0"/>
                <w:numId w:val="0"/>
              </w:numPr>
              <w:ind w:left="340" w:hanging="340"/>
            </w:pPr>
            <w:r w:rsidRPr="00FA46B3">
              <w:t>OH</w:t>
            </w:r>
            <w:r w:rsidRPr="00FA46B3">
              <w:rPr>
                <w:vertAlign w:val="superscript"/>
              </w:rPr>
              <w:t>-</w:t>
            </w:r>
            <w:r w:rsidRPr="00FA46B3">
              <w:t>(</w:t>
            </w:r>
            <w:proofErr w:type="spellStart"/>
            <w:r w:rsidRPr="00FA46B3">
              <w:t>aq</w:t>
            </w:r>
            <w:proofErr w:type="spellEnd"/>
            <w:r w:rsidRPr="00FA46B3">
              <w:t>)</w:t>
            </w:r>
          </w:p>
          <w:p w14:paraId="72A2F754" w14:textId="4EB1F297" w:rsidR="00FA46B3" w:rsidRPr="00FA46B3" w:rsidRDefault="00FA46B3" w:rsidP="00FA46B3">
            <w:pPr>
              <w:pStyle w:val="Numberedlist"/>
              <w:numPr>
                <w:ilvl w:val="0"/>
                <w:numId w:val="0"/>
              </w:numPr>
              <w:ind w:left="340" w:hanging="340"/>
            </w:pPr>
          </w:p>
          <w:p w14:paraId="69ADFA04" w14:textId="77777777" w:rsidR="00FA46B3" w:rsidRPr="00FA46B3" w:rsidRDefault="00FA46B3" w:rsidP="00FA46B3">
            <w:pPr>
              <w:pStyle w:val="Numberedlist"/>
              <w:numPr>
                <w:ilvl w:val="0"/>
                <w:numId w:val="0"/>
              </w:numPr>
              <w:ind w:left="340" w:hanging="340"/>
            </w:pPr>
          </w:p>
          <w:p w14:paraId="66565014" w14:textId="77777777" w:rsidR="00FA46B3" w:rsidRPr="00FA46B3" w:rsidRDefault="00FA46B3" w:rsidP="00FA46B3">
            <w:pPr>
              <w:pStyle w:val="Numberedlist"/>
              <w:numPr>
                <w:ilvl w:val="0"/>
                <w:numId w:val="0"/>
              </w:numPr>
              <w:ind w:left="340" w:hanging="340"/>
            </w:pPr>
          </w:p>
          <w:p w14:paraId="7F487B58" w14:textId="77777777" w:rsidR="00BC7AD1" w:rsidRDefault="00BC7AD1" w:rsidP="00AE621F">
            <w:pPr>
              <w:pStyle w:val="Numberedlist"/>
              <w:numPr>
                <w:ilvl w:val="0"/>
                <w:numId w:val="0"/>
              </w:numPr>
            </w:pPr>
          </w:p>
        </w:tc>
        <w:tc>
          <w:tcPr>
            <w:tcW w:w="4206" w:type="dxa"/>
          </w:tcPr>
          <w:p w14:paraId="1AB0D6C8" w14:textId="18680201" w:rsidR="00BC7AD1" w:rsidRDefault="00396F17" w:rsidP="00830B83">
            <w:pPr>
              <w:pStyle w:val="Numberedlist"/>
              <w:numPr>
                <w:ilvl w:val="0"/>
                <w:numId w:val="10"/>
              </w:numPr>
            </w:pPr>
            <w:r>
              <w:rPr>
                <w:noProof/>
                <w:lang w:eastAsia="en-GB"/>
              </w:rPr>
              <w:drawing>
                <wp:anchor distT="0" distB="0" distL="114300" distR="114300" simplePos="0" relativeHeight="251658240" behindDoc="0" locked="0" layoutInCell="1" allowOverlap="1" wp14:anchorId="6656674C" wp14:editId="6C94DC3F">
                  <wp:simplePos x="0" y="0"/>
                  <wp:positionH relativeFrom="column">
                    <wp:posOffset>224155</wp:posOffset>
                  </wp:positionH>
                  <wp:positionV relativeFrom="paragraph">
                    <wp:posOffset>1014730</wp:posOffset>
                  </wp:positionV>
                  <wp:extent cx="1756410" cy="1261745"/>
                  <wp:effectExtent l="0" t="0" r="0" b="0"/>
                  <wp:wrapSquare wrapText="bothSides"/>
                  <wp:docPr id="4" name="Picture 4" descr="C:\Users\clatworthyl\AppData\Local\Microsoft\Windows\INetCache\Content.Word\Salt-and-beak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latworthyl\AppData\Local\Microsoft\Windows\INetCache\Content.Word\Salt-and-beaker_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6410" cy="1261745"/>
                          </a:xfrm>
                          <a:prstGeom prst="rect">
                            <a:avLst/>
                          </a:prstGeom>
                          <a:noFill/>
                          <a:ln>
                            <a:noFill/>
                          </a:ln>
                        </pic:spPr>
                      </pic:pic>
                    </a:graphicData>
                  </a:graphic>
                </wp:anchor>
              </w:drawing>
            </w:r>
            <w:r w:rsidR="00FA46B3" w:rsidRPr="00FA46B3">
              <w:rPr>
                <w:b/>
                <w:bCs/>
                <w:iCs/>
              </w:rPr>
              <w:t xml:space="preserve">Complete the diagram </w:t>
            </w:r>
            <w:r w:rsidR="00FA46B3" w:rsidRPr="00FA46B3">
              <w:rPr>
                <w:iCs/>
              </w:rPr>
              <w:t xml:space="preserve">once you have </w:t>
            </w:r>
            <w:r w:rsidR="00FA46B3" w:rsidRPr="00FA46B3">
              <w:rPr>
                <w:b/>
                <w:bCs/>
                <w:iCs/>
              </w:rPr>
              <w:t xml:space="preserve">watched an animation </w:t>
            </w:r>
            <w:r w:rsidR="00FA46B3" w:rsidRPr="00FA46B3">
              <w:rPr>
                <w:iCs/>
              </w:rPr>
              <w:t xml:space="preserve">imagining you can see the ions, electrons and molecules during electrolysis. Label the diagram – making sure you use some of the formulas from the Symbolic column. </w:t>
            </w:r>
          </w:p>
        </w:tc>
      </w:tr>
    </w:tbl>
    <w:p w14:paraId="7D94A61E" w14:textId="08AE3B1F" w:rsidR="007D50E0" w:rsidRDefault="007D50E0" w:rsidP="00AE621F">
      <w:pPr>
        <w:pStyle w:val="Numberedlist"/>
        <w:numPr>
          <w:ilvl w:val="0"/>
          <w:numId w:val="0"/>
        </w:numPr>
      </w:pPr>
    </w:p>
    <w:sectPr w:rsidR="007D50E0" w:rsidSect="00AE4AE9">
      <w:footerReference w:type="default" r:id="rId17"/>
      <w:headerReference w:type="first" r:id="rId18"/>
      <w:footerReference w:type="first" r:id="rId19"/>
      <w:type w:val="continuous"/>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4D58FE56"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214073">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214073">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59ABE5D" w:rsidR="00E15396" w:rsidRPr="00EE78E2" w:rsidRDefault="00520BDA" w:rsidP="00AE4AE9">
    <w:pPr>
      <w:pStyle w:val="Footer"/>
      <w:tabs>
        <w:tab w:val="clear" w:pos="4513"/>
        <w:tab w:val="clear" w:pos="9026"/>
        <w:tab w:val="center" w:pos="6946"/>
        <w:tab w:val="center" w:pos="7002"/>
        <w:tab w:val="right" w:pos="14002"/>
      </w:tabs>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214073">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214073">
      <w:rPr>
        <w:noProof/>
        <w:sz w:val="16"/>
      </w:rPr>
      <w:t>2</w:t>
    </w:r>
    <w:r w:rsidR="00EE78E2" w:rsidRPr="00EE78E2">
      <w:rPr>
        <w:noProof/>
        <w:sz w:val="16"/>
      </w:rPr>
      <w:fldChar w:fldCharType="end"/>
    </w:r>
    <w:r w:rsidR="00AE4AE9">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563FF716">
          <wp:simplePos x="0" y="0"/>
          <wp:positionH relativeFrom="column">
            <wp:posOffset>7512095</wp:posOffset>
          </wp:positionH>
          <wp:positionV relativeFrom="paragraph">
            <wp:posOffset>-194310</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315E6640"/>
    <w:lvl w:ilvl="0" w:tplc="CCA46744">
      <w:start w:val="1"/>
      <w:numFmt w:val="decimal"/>
      <w:pStyle w:val="Numberedlis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4"/>
    <w:lvlOverride w:ilvl="0">
      <w:startOverride w:val="2"/>
    </w:lvlOverride>
  </w:num>
  <w:num w:numId="9">
    <w:abstractNumId w:val="4"/>
    <w:lvlOverride w:ilvl="0">
      <w:startOverride w:val="3"/>
    </w:lvlOverride>
  </w:num>
  <w:num w:numId="10">
    <w:abstractNumId w:val="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64A8"/>
    <w:rsid w:val="001D7818"/>
    <w:rsid w:val="001E0F30"/>
    <w:rsid w:val="001F2D6F"/>
    <w:rsid w:val="001F589D"/>
    <w:rsid w:val="00200C3D"/>
    <w:rsid w:val="00210131"/>
    <w:rsid w:val="002117FF"/>
    <w:rsid w:val="00214073"/>
    <w:rsid w:val="00232BDF"/>
    <w:rsid w:val="00274F1A"/>
    <w:rsid w:val="0028034B"/>
    <w:rsid w:val="00281035"/>
    <w:rsid w:val="00287576"/>
    <w:rsid w:val="00291C4D"/>
    <w:rsid w:val="00292178"/>
    <w:rsid w:val="002A3815"/>
    <w:rsid w:val="002C0301"/>
    <w:rsid w:val="002C4A08"/>
    <w:rsid w:val="002E44CD"/>
    <w:rsid w:val="002F0461"/>
    <w:rsid w:val="003007AB"/>
    <w:rsid w:val="003019B6"/>
    <w:rsid w:val="003260A5"/>
    <w:rsid w:val="00334EAD"/>
    <w:rsid w:val="00343CBA"/>
    <w:rsid w:val="00361A0D"/>
    <w:rsid w:val="00396F17"/>
    <w:rsid w:val="003B3451"/>
    <w:rsid w:val="003B67AB"/>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F0F87"/>
    <w:rsid w:val="005065D4"/>
    <w:rsid w:val="00510295"/>
    <w:rsid w:val="00515A5A"/>
    <w:rsid w:val="00520BDA"/>
    <w:rsid w:val="0054664B"/>
    <w:rsid w:val="005516AC"/>
    <w:rsid w:val="0056366B"/>
    <w:rsid w:val="0056407C"/>
    <w:rsid w:val="00596ABE"/>
    <w:rsid w:val="005A7495"/>
    <w:rsid w:val="005C02D2"/>
    <w:rsid w:val="005D668B"/>
    <w:rsid w:val="005F1C11"/>
    <w:rsid w:val="005F451D"/>
    <w:rsid w:val="00613760"/>
    <w:rsid w:val="00635F98"/>
    <w:rsid w:val="006437AB"/>
    <w:rsid w:val="006500ED"/>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7D50E0"/>
    <w:rsid w:val="00805114"/>
    <w:rsid w:val="0081005F"/>
    <w:rsid w:val="00830B83"/>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E5630"/>
    <w:rsid w:val="009F0DFC"/>
    <w:rsid w:val="009F3445"/>
    <w:rsid w:val="00A123FE"/>
    <w:rsid w:val="00A42400"/>
    <w:rsid w:val="00A50EEB"/>
    <w:rsid w:val="00A52886"/>
    <w:rsid w:val="00A75F4C"/>
    <w:rsid w:val="00A9584B"/>
    <w:rsid w:val="00AB1738"/>
    <w:rsid w:val="00AE4AE9"/>
    <w:rsid w:val="00AE621F"/>
    <w:rsid w:val="00AE7C6A"/>
    <w:rsid w:val="00AF3542"/>
    <w:rsid w:val="00AF776F"/>
    <w:rsid w:val="00B20041"/>
    <w:rsid w:val="00B57B2A"/>
    <w:rsid w:val="00BA512C"/>
    <w:rsid w:val="00BB1F22"/>
    <w:rsid w:val="00BC7AD1"/>
    <w:rsid w:val="00C17DDC"/>
    <w:rsid w:val="00C3053B"/>
    <w:rsid w:val="00C4001E"/>
    <w:rsid w:val="00CD03A2"/>
    <w:rsid w:val="00CD10BF"/>
    <w:rsid w:val="00D174D9"/>
    <w:rsid w:val="00D20A6A"/>
    <w:rsid w:val="00D3092C"/>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46B3"/>
    <w:rsid w:val="00FA7F39"/>
    <w:rsid w:val="00FB66F1"/>
    <w:rsid w:val="00FC60FB"/>
    <w:rsid w:val="00FD110A"/>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semiHidden/>
    <w:unhideWhenUsed/>
    <w:rsid w:val="00FA46B3"/>
    <w:pPr>
      <w:keepLines w:val="0"/>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0910">
      <w:bodyDiv w:val="1"/>
      <w:marLeft w:val="0"/>
      <w:marRight w:val="0"/>
      <w:marTop w:val="0"/>
      <w:marBottom w:val="0"/>
      <w:divBdr>
        <w:top w:val="none" w:sz="0" w:space="0" w:color="auto"/>
        <w:left w:val="none" w:sz="0" w:space="0" w:color="auto"/>
        <w:bottom w:val="none" w:sz="0" w:space="0" w:color="auto"/>
        <w:right w:val="none" w:sz="0" w:space="0" w:color="auto"/>
      </w:divBdr>
    </w:div>
    <w:div w:id="302539880">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48747093">
      <w:bodyDiv w:val="1"/>
      <w:marLeft w:val="0"/>
      <w:marRight w:val="0"/>
      <w:marTop w:val="0"/>
      <w:marBottom w:val="0"/>
      <w:divBdr>
        <w:top w:val="none" w:sz="0" w:space="0" w:color="auto"/>
        <w:left w:val="none" w:sz="0" w:space="0" w:color="auto"/>
        <w:bottom w:val="none" w:sz="0" w:space="0" w:color="auto"/>
        <w:right w:val="none" w:sz="0" w:space="0" w:color="auto"/>
      </w:divBdr>
    </w:div>
    <w:div w:id="481972218">
      <w:bodyDiv w:val="1"/>
      <w:marLeft w:val="0"/>
      <w:marRight w:val="0"/>
      <w:marTop w:val="0"/>
      <w:marBottom w:val="0"/>
      <w:divBdr>
        <w:top w:val="none" w:sz="0" w:space="0" w:color="auto"/>
        <w:left w:val="none" w:sz="0" w:space="0" w:color="auto"/>
        <w:bottom w:val="none" w:sz="0" w:space="0" w:color="auto"/>
        <w:right w:val="none" w:sz="0" w:space="0" w:color="auto"/>
      </w:divBdr>
    </w:div>
    <w:div w:id="669328471">
      <w:bodyDiv w:val="1"/>
      <w:marLeft w:val="0"/>
      <w:marRight w:val="0"/>
      <w:marTop w:val="0"/>
      <w:marBottom w:val="0"/>
      <w:divBdr>
        <w:top w:val="none" w:sz="0" w:space="0" w:color="auto"/>
        <w:left w:val="none" w:sz="0" w:space="0" w:color="auto"/>
        <w:bottom w:val="none" w:sz="0" w:space="0" w:color="auto"/>
        <w:right w:val="none" w:sz="0" w:space="0" w:color="auto"/>
      </w:divBdr>
    </w:div>
    <w:div w:id="698432577">
      <w:bodyDiv w:val="1"/>
      <w:marLeft w:val="0"/>
      <w:marRight w:val="0"/>
      <w:marTop w:val="0"/>
      <w:marBottom w:val="0"/>
      <w:divBdr>
        <w:top w:val="none" w:sz="0" w:space="0" w:color="auto"/>
        <w:left w:val="none" w:sz="0" w:space="0" w:color="auto"/>
        <w:bottom w:val="none" w:sz="0" w:space="0" w:color="auto"/>
        <w:right w:val="none" w:sz="0" w:space="0" w:color="auto"/>
      </w:divBdr>
    </w:div>
    <w:div w:id="734862567">
      <w:bodyDiv w:val="1"/>
      <w:marLeft w:val="0"/>
      <w:marRight w:val="0"/>
      <w:marTop w:val="0"/>
      <w:marBottom w:val="0"/>
      <w:divBdr>
        <w:top w:val="none" w:sz="0" w:space="0" w:color="auto"/>
        <w:left w:val="none" w:sz="0" w:space="0" w:color="auto"/>
        <w:bottom w:val="none" w:sz="0" w:space="0" w:color="auto"/>
        <w:right w:val="none" w:sz="0" w:space="0" w:color="auto"/>
      </w:divBdr>
    </w:div>
    <w:div w:id="973175694">
      <w:bodyDiv w:val="1"/>
      <w:marLeft w:val="0"/>
      <w:marRight w:val="0"/>
      <w:marTop w:val="0"/>
      <w:marBottom w:val="0"/>
      <w:divBdr>
        <w:top w:val="none" w:sz="0" w:space="0" w:color="auto"/>
        <w:left w:val="none" w:sz="0" w:space="0" w:color="auto"/>
        <w:bottom w:val="none" w:sz="0" w:space="0" w:color="auto"/>
        <w:right w:val="none" w:sz="0" w:space="0" w:color="auto"/>
      </w:divBdr>
    </w:div>
    <w:div w:id="1250769855">
      <w:bodyDiv w:val="1"/>
      <w:marLeft w:val="0"/>
      <w:marRight w:val="0"/>
      <w:marTop w:val="0"/>
      <w:marBottom w:val="0"/>
      <w:divBdr>
        <w:top w:val="none" w:sz="0" w:space="0" w:color="auto"/>
        <w:left w:val="none" w:sz="0" w:space="0" w:color="auto"/>
        <w:bottom w:val="none" w:sz="0" w:space="0" w:color="auto"/>
        <w:right w:val="none" w:sz="0" w:space="0" w:color="auto"/>
      </w:divBdr>
    </w:div>
    <w:div w:id="1671785884">
      <w:bodyDiv w:val="1"/>
      <w:marLeft w:val="0"/>
      <w:marRight w:val="0"/>
      <w:marTop w:val="0"/>
      <w:marBottom w:val="0"/>
      <w:divBdr>
        <w:top w:val="none" w:sz="0" w:space="0" w:color="auto"/>
        <w:left w:val="none" w:sz="0" w:space="0" w:color="auto"/>
        <w:bottom w:val="none" w:sz="0" w:space="0" w:color="auto"/>
        <w:right w:val="none" w:sz="0" w:space="0" w:color="auto"/>
      </w:divBdr>
    </w:div>
    <w:div w:id="182755186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youtube.com/watch?v=N_HQGiC9OJ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lestore.aqa.org.uk/resources/chemistry/AQA-8462-PRACTICALS-HB.PDF"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rsc.li/2LVUXj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27d643f5-4560-4eff-9f48-d0fe6b2bec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Bridging the macroscopic and sub-microscopic worlds</vt:lpstr>
    </vt:vector>
  </TitlesOfParts>
  <Company>Royal Society of Chemistry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Bridging the macroscopic and sub-microscopic worlds</dc:title>
  <dc:subject/>
  <dc:creator>Royal Society of Chemistry</dc:creator>
  <dc:description>Downloaded from Take different approaches to build understanding Education in Chemistry, rsc.li/2LVUXjW</dc:description>
  <cp:lastModifiedBy>Lisa Clatworthy</cp:lastModifiedBy>
  <cp:revision>9</cp:revision>
  <dcterms:created xsi:type="dcterms:W3CDTF">2019-07-10T11:31:00Z</dcterms:created>
  <dcterms:modified xsi:type="dcterms:W3CDTF">2021-02-15T08:53:00Z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