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7956B263" w:rsidR="00A42400" w:rsidRDefault="00D42E7C" w:rsidP="00A42400">
      <w:pPr>
        <w:pStyle w:val="Heading1"/>
      </w:pPr>
      <w:r>
        <w:t>Take the broken practical approach</w:t>
      </w:r>
    </w:p>
    <w:p w14:paraId="1161FD3C" w14:textId="7F8B7E66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D42E7C">
        <w:rPr>
          <w:rStyle w:val="LeadparagraphChar"/>
        </w:rPr>
        <w:t>May 2021</w:t>
      </w:r>
      <w:r w:rsidR="007D50E0">
        <w:rPr>
          <w:rStyle w:val="LeadparagraphChar"/>
        </w:rPr>
        <w:br/>
      </w:r>
      <w:r w:rsidR="00C80524">
        <w:rPr>
          <w:rStyle w:val="LeadparagraphChar"/>
        </w:rPr>
        <w:fldChar w:fldCharType="begin"/>
      </w:r>
      <w:r w:rsidR="00C80524">
        <w:rPr>
          <w:rStyle w:val="LeadparagraphChar"/>
        </w:rPr>
        <w:instrText xml:space="preserve"> HYPERLINK "https://rsc.li/3eX02H0" </w:instrText>
      </w:r>
      <w:r w:rsidR="00C80524">
        <w:rPr>
          <w:rStyle w:val="LeadparagraphChar"/>
        </w:rPr>
      </w:r>
      <w:r w:rsidR="00C80524">
        <w:rPr>
          <w:rStyle w:val="LeadparagraphChar"/>
        </w:rPr>
        <w:fldChar w:fldCharType="separate"/>
      </w:r>
      <w:r w:rsidR="00C80524" w:rsidRPr="00C80524">
        <w:rPr>
          <w:rStyle w:val="Hyperlink"/>
        </w:rPr>
        <w:t>rsc.li/3eX02H0</w:t>
      </w:r>
      <w:r w:rsidR="00C80524">
        <w:rPr>
          <w:rStyle w:val="LeadparagraphChar"/>
        </w:rPr>
        <w:fldChar w:fldCharType="end"/>
      </w:r>
      <w:bookmarkStart w:id="0" w:name="_GoBack"/>
      <w:bookmarkEnd w:id="0"/>
    </w:p>
    <w:p w14:paraId="72C48703" w14:textId="6C27D208" w:rsidR="005B1360" w:rsidRDefault="005B1360" w:rsidP="005B1360">
      <w:pPr>
        <w:pStyle w:val="Heading2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When developing and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assessing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students’ </w:t>
      </w:r>
      <w:r w:rsidR="00444482">
        <w:rPr>
          <w:rFonts w:ascii="Roboto" w:hAnsi="Roboto"/>
          <w:color w:val="000000"/>
          <w:sz w:val="20"/>
          <w:szCs w:val="20"/>
          <w:shd w:val="clear" w:color="auto" w:fill="FFFFFF"/>
        </w:rPr>
        <w:t>learning from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the practical work they are doing, rather than just their ability to follow recipe-style instructions, you can use the broken practical approach. This switches recall questions </w:t>
      </w:r>
      <w:r w:rsidR="00444482">
        <w:rPr>
          <w:rFonts w:ascii="Roboto" w:hAnsi="Roboto"/>
          <w:color w:val="000000"/>
          <w:sz w:val="20"/>
          <w:szCs w:val="20"/>
          <w:shd w:val="clear" w:color="auto" w:fill="FFFFFF"/>
        </w:rPr>
        <w:t>about doing the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practical work for more challenging, in-depth questions</w:t>
      </w:r>
      <w:r w:rsidR="00444482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exploring the learning from the practical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</w:t>
      </w:r>
    </w:p>
    <w:p w14:paraId="79FB85FB" w14:textId="16C60690" w:rsidR="005B1360" w:rsidRDefault="005B1360" w:rsidP="005B1360">
      <w:r>
        <w:t>You can use the broken practical matrix overleaf to construct your questions. Use the questioning words from the left-hand column and the verbs from the header row to construct your questions. This significantly changes the level and challenge of the question</w:t>
      </w:r>
      <w:r w:rsidR="00444482">
        <w:t>, investigating students’ learning, not simply their ability to follow instructions.</w:t>
      </w:r>
      <w:r>
        <w:t xml:space="preserve"> To find out how much students really understand, use questions from the bottom right of the matrix.</w:t>
      </w:r>
    </w:p>
    <w:p w14:paraId="66EFDA51" w14:textId="0ED33B04" w:rsidR="005B1360" w:rsidRPr="005B1360" w:rsidRDefault="005B1360" w:rsidP="005B1360">
      <w:r>
        <w:t>Below are some example questions you could use with students who have completed the chromatography of ink practical.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3"/>
      </w:tblGrid>
      <w:tr w:rsidR="005B1360" w14:paraId="526ED56F" w14:textId="77777777" w:rsidTr="00A52B89">
        <w:tc>
          <w:tcPr>
            <w:tcW w:w="5098" w:type="dxa"/>
            <w:shd w:val="clear" w:color="auto" w:fill="D9D9D9" w:themeFill="background1" w:themeFillShade="D9"/>
          </w:tcPr>
          <w:p w14:paraId="11F172B7" w14:textId="77777777" w:rsidR="005B1360" w:rsidRPr="00A52B89" w:rsidRDefault="005B1360" w:rsidP="00E672AA">
            <w:pPr>
              <w:pStyle w:val="Normal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52B8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Recall questions based on recipe-style practical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6CA8575" w14:textId="77777777" w:rsidR="005B1360" w:rsidRPr="00A52B89" w:rsidRDefault="005B1360" w:rsidP="00E672AA">
            <w:pPr>
              <w:pStyle w:val="NormalWeb"/>
              <w:spacing w:before="0" w:beforeAutospacing="0" w:after="12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52B8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Broken practical questions</w:t>
            </w:r>
          </w:p>
        </w:tc>
      </w:tr>
      <w:tr w:rsidR="005B1360" w14:paraId="192ADC5D" w14:textId="77777777" w:rsidTr="00A52B89">
        <w:tc>
          <w:tcPr>
            <w:tcW w:w="5098" w:type="dxa"/>
          </w:tcPr>
          <w:p w14:paraId="00FEEDF4" w14:textId="77777777" w:rsidR="005B1360" w:rsidRDefault="005B1360" w:rsidP="00E672AA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Where did you draw the pencil line?</w:t>
            </w:r>
          </w:p>
        </w:tc>
        <w:tc>
          <w:tcPr>
            <w:tcW w:w="4253" w:type="dxa"/>
          </w:tcPr>
          <w:p w14:paraId="4EFB48F6" w14:textId="77777777" w:rsidR="005B1360" w:rsidRDefault="005B1360" w:rsidP="00E672AA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Why should the line be drawn with a pencil? What might you use if you didn’t have a pencil?</w:t>
            </w:r>
          </w:p>
        </w:tc>
      </w:tr>
      <w:tr w:rsidR="005B1360" w14:paraId="31D56134" w14:textId="77777777" w:rsidTr="00A52B89">
        <w:tc>
          <w:tcPr>
            <w:tcW w:w="5098" w:type="dxa"/>
          </w:tcPr>
          <w:p w14:paraId="1C54964F" w14:textId="77777777" w:rsidR="005B1360" w:rsidRDefault="005B1360" w:rsidP="00E672AA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When did you take the paper out of the solvent?</w:t>
            </w:r>
          </w:p>
        </w:tc>
        <w:tc>
          <w:tcPr>
            <w:tcW w:w="4253" w:type="dxa"/>
          </w:tcPr>
          <w:p w14:paraId="741702DA" w14:textId="77777777" w:rsidR="005B1360" w:rsidRDefault="005B1360" w:rsidP="00E672AA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How would your chromatogram look different if you took it out of the solvent earlier or later?</w:t>
            </w:r>
          </w:p>
        </w:tc>
      </w:tr>
      <w:tr w:rsidR="005B1360" w14:paraId="1736C522" w14:textId="77777777" w:rsidTr="00A52B89">
        <w:tc>
          <w:tcPr>
            <w:tcW w:w="5098" w:type="dxa"/>
          </w:tcPr>
          <w:p w14:paraId="61FED30B" w14:textId="77777777" w:rsidR="005B1360" w:rsidRDefault="005B1360" w:rsidP="00E672AA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Which ink had the most parts to it?</w:t>
            </w:r>
          </w:p>
        </w:tc>
        <w:tc>
          <w:tcPr>
            <w:tcW w:w="4253" w:type="dxa"/>
          </w:tcPr>
          <w:p w14:paraId="07F32DF5" w14:textId="77777777" w:rsidR="005B1360" w:rsidRDefault="005B1360" w:rsidP="00E672AA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How could you improve the accuracy of your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Rf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value calculations?</w:t>
            </w:r>
          </w:p>
        </w:tc>
      </w:tr>
    </w:tbl>
    <w:p w14:paraId="3A4E5DC6" w14:textId="7DA0CE48" w:rsidR="005B1360" w:rsidRDefault="005B1360" w:rsidP="005B1360"/>
    <w:p w14:paraId="1D16A5C1" w14:textId="77777777" w:rsidR="005B1360" w:rsidRDefault="005B1360">
      <w:pPr>
        <w:keepLines w:val="0"/>
        <w:spacing w:before="200" w:after="0"/>
      </w:pPr>
      <w:r>
        <w:br w:type="page"/>
      </w:r>
    </w:p>
    <w:p w14:paraId="45786549" w14:textId="4A2B5AB3" w:rsidR="0002726D" w:rsidRPr="00444482" w:rsidRDefault="00444482" w:rsidP="00444482">
      <w:pPr>
        <w:pStyle w:val="Numberedlist"/>
        <w:numPr>
          <w:ilvl w:val="0"/>
          <w:numId w:val="0"/>
        </w:numPr>
      </w:pPr>
      <w:r>
        <w:rPr>
          <w:noProof/>
          <w:lang w:eastAsia="en-GB"/>
        </w:rPr>
        <w:lastRenderedPageBreak/>
        <w:drawing>
          <wp:inline distT="0" distB="0" distL="0" distR="0" wp14:anchorId="11F92F7B" wp14:editId="3DCCB308">
            <wp:extent cx="8144510" cy="57594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ource - matrix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451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26D" w:rsidRPr="00444482" w:rsidSect="00AE4AE9"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7A8AFB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80524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80524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ADA2B60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80524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80524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7A9BEDC7" w:rsidR="00343CBA" w:rsidRDefault="002C0904" w:rsidP="009875B2">
    <w:pPr>
      <w:pStyle w:val="Header"/>
      <w:jc w:val="right"/>
    </w:pPr>
    <w:r>
      <w:rPr>
        <w:noProof/>
        <w:lang w:eastAsia="en-GB"/>
      </w:rPr>
      <w:pict w14:anchorId="520B8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44482"/>
    <w:rsid w:val="00460F13"/>
    <w:rsid w:val="004634FA"/>
    <w:rsid w:val="004723CA"/>
    <w:rsid w:val="00490BB0"/>
    <w:rsid w:val="00496E2E"/>
    <w:rsid w:val="004A2D91"/>
    <w:rsid w:val="004A32F0"/>
    <w:rsid w:val="004A7D86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96ABE"/>
    <w:rsid w:val="005A7495"/>
    <w:rsid w:val="005B1360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EEB"/>
    <w:rsid w:val="00A52886"/>
    <w:rsid w:val="00A52B89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24665"/>
    <w:rsid w:val="00B57B2A"/>
    <w:rsid w:val="00BA512C"/>
    <w:rsid w:val="00BB1F22"/>
    <w:rsid w:val="00C17DDC"/>
    <w:rsid w:val="00C3053B"/>
    <w:rsid w:val="00C80524"/>
    <w:rsid w:val="00CD10BF"/>
    <w:rsid w:val="00D174D9"/>
    <w:rsid w:val="00D20A6A"/>
    <w:rsid w:val="00D34A04"/>
    <w:rsid w:val="00D42E7C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NormalWeb">
    <w:name w:val="Normal (Web)"/>
    <w:basedOn w:val="Normal"/>
    <w:uiPriority w:val="99"/>
    <w:unhideWhenUsed/>
    <w:rsid w:val="005B1360"/>
    <w:pPr>
      <w:keepLine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4EE4200-69C0-4856-A87B-939D53C5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the broken practical approach</dc:title>
  <dc:subject>practical work; chemistry; chromatography; GCSE</dc:subject>
  <dc:creator>Royal Society of Chemistry</dc:creator>
  <cp:keywords>practical work; chemistry; chromatography; GCSE</cp:keywords>
  <dc:description>Downloaded from Practise purposeful practical work, Education in Chemistry, rsc.li/3eX02H0</dc:description>
  <cp:lastModifiedBy>Lisa Clatworthy</cp:lastModifiedBy>
  <cp:revision>3</cp:revision>
  <dcterms:created xsi:type="dcterms:W3CDTF">2021-03-17T14:48:00Z</dcterms:created>
  <dcterms:modified xsi:type="dcterms:W3CDTF">2021-03-18T17:39:00Z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