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E1A37" w14:textId="091F41A2" w:rsidR="009C6C7F" w:rsidRDefault="00E6343B" w:rsidP="006E6495">
      <w:pPr>
        <w:pStyle w:val="Heading1"/>
      </w:pPr>
      <w:r>
        <w:t xml:space="preserve">Microscale reactions of ammonia – </w:t>
      </w:r>
      <w:r w:rsidR="00AE5967">
        <w:t>teacher notes</w:t>
      </w:r>
    </w:p>
    <w:p w14:paraId="6BD8EAEC" w14:textId="3C389F31" w:rsidR="00EE7B55" w:rsidRDefault="00EE7B55" w:rsidP="006E6495"/>
    <w:p w14:paraId="70CCCA41" w14:textId="7DE00ED1" w:rsidR="00357F23" w:rsidRPr="00EE7B55" w:rsidRDefault="007A2399" w:rsidP="006E6495">
      <w:r>
        <w:t xml:space="preserve">In this experiment, </w:t>
      </w:r>
      <w:r w:rsidR="00AE5967">
        <w:t>students</w:t>
      </w:r>
      <w:r>
        <w:t xml:space="preserve"> observe what happens when ammonia reacts with indicator solution, </w:t>
      </w:r>
      <w:proofErr w:type="gramStart"/>
      <w:r>
        <w:t>copper(</w:t>
      </w:r>
      <w:proofErr w:type="gramEnd"/>
      <w:r>
        <w:t>II) sulfate solution and Nessler’s reagent.</w:t>
      </w:r>
    </w:p>
    <w:p w14:paraId="741F7216" w14:textId="4176E8FD" w:rsidR="006602A0" w:rsidRDefault="00AE5967" w:rsidP="00AE5967">
      <w:pPr>
        <w:pStyle w:val="Heading2"/>
      </w:pPr>
      <w:r>
        <w:t>Topic</w:t>
      </w:r>
    </w:p>
    <w:p w14:paraId="09D508FB" w14:textId="4CC63B35" w:rsidR="00AE5967" w:rsidRDefault="00AE5967" w:rsidP="00AE5967"/>
    <w:p w14:paraId="6BDA38AB" w14:textId="35E4C906" w:rsidR="00AE5967" w:rsidRDefault="00AE5967" w:rsidP="00AE5967">
      <w:r>
        <w:t>Gases</w:t>
      </w:r>
    </w:p>
    <w:p w14:paraId="74F27248" w14:textId="7958174A" w:rsidR="00AE5967" w:rsidRDefault="00AE5967" w:rsidP="00AE5967">
      <w:pPr>
        <w:pStyle w:val="Heading2"/>
      </w:pPr>
      <w:r>
        <w:t>Timing</w:t>
      </w:r>
    </w:p>
    <w:p w14:paraId="43827861" w14:textId="7F50FCDF" w:rsidR="00AE5967" w:rsidRDefault="00AE5967" w:rsidP="00AE5967"/>
    <w:p w14:paraId="013F2D4F" w14:textId="1B6E6BAD" w:rsidR="00AE5967" w:rsidRDefault="00AE5967" w:rsidP="00AE5967">
      <w:r>
        <w:t>20 minutes</w:t>
      </w:r>
    </w:p>
    <w:p w14:paraId="47C8F87B" w14:textId="5AF73A4A" w:rsidR="00AE5967" w:rsidRDefault="00AE5967" w:rsidP="00AE5967">
      <w:pPr>
        <w:pStyle w:val="Heading2"/>
      </w:pPr>
      <w:r>
        <w:t>Equipment</w:t>
      </w:r>
    </w:p>
    <w:p w14:paraId="59840FE8" w14:textId="3A632E1E" w:rsidR="00AE5967" w:rsidRDefault="00AE5967" w:rsidP="00AE5967"/>
    <w:p w14:paraId="09ED11E3" w14:textId="33A9D7ED" w:rsidR="00AE5967" w:rsidRDefault="00AE5967" w:rsidP="00AE5967">
      <w:pPr>
        <w:pStyle w:val="Heading3"/>
      </w:pPr>
      <w:r>
        <w:t>Apparatus</w:t>
      </w:r>
    </w:p>
    <w:p w14:paraId="15CD5CEB" w14:textId="0272513B" w:rsidR="00AE5967" w:rsidRDefault="00AE5967" w:rsidP="00AE5967"/>
    <w:p w14:paraId="31378A1F" w14:textId="2752B526" w:rsidR="00E21805" w:rsidRDefault="00E21805" w:rsidP="00F16C18">
      <w:pPr>
        <w:numPr>
          <w:ilvl w:val="0"/>
          <w:numId w:val="10"/>
        </w:numPr>
        <w:spacing w:after="120"/>
        <w:ind w:left="714" w:hanging="357"/>
      </w:pPr>
      <w:r>
        <w:t>Eye protection</w:t>
      </w:r>
    </w:p>
    <w:p w14:paraId="3BE3CE5C" w14:textId="17C665AE" w:rsidR="00B31EB6" w:rsidRPr="00B31EB6" w:rsidRDefault="00B31EB6" w:rsidP="00F16C18">
      <w:pPr>
        <w:numPr>
          <w:ilvl w:val="0"/>
          <w:numId w:val="10"/>
        </w:numPr>
        <w:spacing w:after="120"/>
        <w:ind w:left="714" w:hanging="357"/>
      </w:pPr>
      <w:r w:rsidRPr="00B31EB6">
        <w:t>Student sheet</w:t>
      </w:r>
    </w:p>
    <w:p w14:paraId="2D7079A3" w14:textId="77777777" w:rsidR="00B31EB6" w:rsidRPr="00B31EB6" w:rsidRDefault="00B31EB6" w:rsidP="00F16C18">
      <w:pPr>
        <w:numPr>
          <w:ilvl w:val="0"/>
          <w:numId w:val="10"/>
        </w:numPr>
        <w:spacing w:after="120"/>
        <w:ind w:left="714" w:hanging="357"/>
      </w:pPr>
      <w:r w:rsidRPr="00B31EB6">
        <w:t xml:space="preserve">Clear plastic sheet (eg </w:t>
      </w:r>
      <w:proofErr w:type="spellStart"/>
      <w:r w:rsidRPr="00B31EB6">
        <w:t>ohp</w:t>
      </w:r>
      <w:proofErr w:type="spellEnd"/>
      <w:r w:rsidRPr="00B31EB6">
        <w:t xml:space="preserve"> sheet)</w:t>
      </w:r>
    </w:p>
    <w:p w14:paraId="4EF7305D" w14:textId="77777777" w:rsidR="00B31EB6" w:rsidRPr="00B31EB6" w:rsidRDefault="00B31EB6" w:rsidP="00F16C18">
      <w:pPr>
        <w:numPr>
          <w:ilvl w:val="0"/>
          <w:numId w:val="10"/>
        </w:numPr>
        <w:spacing w:after="120"/>
        <w:ind w:left="714" w:hanging="357"/>
      </w:pPr>
      <w:r w:rsidRPr="00B31EB6">
        <w:t xml:space="preserve">Plastic Petri dish, 9 cm, </w:t>
      </w:r>
      <w:proofErr w:type="gramStart"/>
      <w:r w:rsidRPr="00B31EB6">
        <w:t>base</w:t>
      </w:r>
      <w:proofErr w:type="gramEnd"/>
      <w:r w:rsidRPr="00B31EB6">
        <w:t xml:space="preserve"> and lid</w:t>
      </w:r>
    </w:p>
    <w:p w14:paraId="7C074AEE" w14:textId="77777777" w:rsidR="00B31EB6" w:rsidRPr="00B31EB6" w:rsidRDefault="00B31EB6" w:rsidP="00F16C18">
      <w:pPr>
        <w:numPr>
          <w:ilvl w:val="0"/>
          <w:numId w:val="10"/>
        </w:numPr>
        <w:spacing w:after="120"/>
        <w:ind w:left="714" w:hanging="357"/>
      </w:pPr>
      <w:r w:rsidRPr="00B31EB6">
        <w:t>Plastic pipette</w:t>
      </w:r>
    </w:p>
    <w:p w14:paraId="3ED282EC" w14:textId="77777777" w:rsidR="00B31EB6" w:rsidRPr="00B31EB6" w:rsidRDefault="00B31EB6" w:rsidP="00F16C18">
      <w:pPr>
        <w:numPr>
          <w:ilvl w:val="0"/>
          <w:numId w:val="10"/>
        </w:numPr>
        <w:spacing w:after="120"/>
        <w:ind w:left="714" w:hanging="357"/>
      </w:pPr>
      <w:r w:rsidRPr="00B31EB6">
        <w:t>Scissors</w:t>
      </w:r>
    </w:p>
    <w:p w14:paraId="76A2FE33" w14:textId="307809E4" w:rsidR="00AE5967" w:rsidRDefault="00AE5967" w:rsidP="00AE5967"/>
    <w:p w14:paraId="082033A4" w14:textId="63AB520A" w:rsidR="00B31EB6" w:rsidRDefault="00B31EB6" w:rsidP="00B31EB6">
      <w:pPr>
        <w:pStyle w:val="Heading3"/>
      </w:pPr>
      <w:r>
        <w:t>Chemicals</w:t>
      </w:r>
    </w:p>
    <w:p w14:paraId="3E772CC3" w14:textId="7CFD1A97" w:rsidR="00F16C18" w:rsidRDefault="00F16C18" w:rsidP="00F16C18"/>
    <w:p w14:paraId="14F20653" w14:textId="1761D642" w:rsidR="00F16C18" w:rsidRPr="00F16C18" w:rsidRDefault="00B90427" w:rsidP="00F16C18">
      <w:r w:rsidRPr="002E4EF0">
        <w:t>Solutions should be contained in plastic pipettes – see the accompanying guidance on apparatus and techniques for microscale chemistry</w:t>
      </w:r>
      <w:r>
        <w:t xml:space="preserve"> (</w:t>
      </w:r>
      <w:hyperlink r:id="rId11" w:history="1">
        <w:r w:rsidRPr="0032376A">
          <w:rPr>
            <w:rStyle w:val="Hyperlink"/>
          </w:rPr>
          <w:t>https://rsc.li/3eioSQW</w:t>
        </w:r>
      </w:hyperlink>
      <w:r>
        <w:t>)</w:t>
      </w:r>
      <w:r w:rsidR="00873AF7">
        <w:t>, which includes instructions for preparing solutions.</w:t>
      </w:r>
    </w:p>
    <w:p w14:paraId="24A141F1" w14:textId="596B7C30" w:rsidR="00B31EB6" w:rsidRDefault="00B31EB6" w:rsidP="00B31EB6"/>
    <w:p w14:paraId="018ABDA2" w14:textId="77777777" w:rsidR="00F16C18" w:rsidRPr="00F16C18" w:rsidRDefault="00F16C18" w:rsidP="00F16C18">
      <w:pPr>
        <w:numPr>
          <w:ilvl w:val="0"/>
          <w:numId w:val="11"/>
        </w:numPr>
        <w:spacing w:after="120"/>
        <w:ind w:left="714" w:hanging="357"/>
      </w:pPr>
      <w:r w:rsidRPr="00F16C18">
        <w:t>Ammonia solution, 3 mol dm</w:t>
      </w:r>
      <w:r w:rsidRPr="00F16C18">
        <w:rPr>
          <w:vertAlign w:val="superscript"/>
        </w:rPr>
        <w:t>–3</w:t>
      </w:r>
    </w:p>
    <w:p w14:paraId="4299A5A6" w14:textId="77777777" w:rsidR="00F16C18" w:rsidRPr="00F16C18" w:rsidRDefault="00F16C18" w:rsidP="00F16C18">
      <w:pPr>
        <w:numPr>
          <w:ilvl w:val="0"/>
          <w:numId w:val="11"/>
        </w:numPr>
        <w:spacing w:after="120"/>
        <w:ind w:left="714" w:hanging="357"/>
      </w:pPr>
      <w:r w:rsidRPr="00F16C18">
        <w:t>Full-range indicator solution, diluted 1:1 with deionised water</w:t>
      </w:r>
    </w:p>
    <w:p w14:paraId="1B74BB2F" w14:textId="77777777" w:rsidR="00F16C18" w:rsidRPr="00F16C18" w:rsidRDefault="00F16C18" w:rsidP="00F16C18">
      <w:pPr>
        <w:numPr>
          <w:ilvl w:val="0"/>
          <w:numId w:val="11"/>
        </w:numPr>
        <w:spacing w:after="120"/>
        <w:ind w:left="714" w:hanging="357"/>
      </w:pPr>
      <w:proofErr w:type="gramStart"/>
      <w:r w:rsidRPr="00F16C18">
        <w:t>Copper(</w:t>
      </w:r>
      <w:proofErr w:type="gramEnd"/>
      <w:r w:rsidRPr="00F16C18">
        <w:t>II) sulfate solution, 0.2 mol dm</w:t>
      </w:r>
      <w:r w:rsidRPr="00F16C18">
        <w:rPr>
          <w:vertAlign w:val="superscript"/>
        </w:rPr>
        <w:t>–3</w:t>
      </w:r>
    </w:p>
    <w:p w14:paraId="0B881BC7" w14:textId="21F9E391" w:rsidR="00B31EB6" w:rsidRDefault="00F16C18" w:rsidP="00F16C18">
      <w:pPr>
        <w:numPr>
          <w:ilvl w:val="0"/>
          <w:numId w:val="11"/>
        </w:numPr>
        <w:spacing w:after="120"/>
        <w:ind w:left="714" w:hanging="357"/>
      </w:pPr>
      <w:r w:rsidRPr="00F16C18">
        <w:t>Nessler’s reagent (an alkaline solution of mercury iodide containing the complex ion HgI</w:t>
      </w:r>
      <w:r w:rsidRPr="00F16C18">
        <w:rPr>
          <w:vertAlign w:val="subscript"/>
        </w:rPr>
        <w:t>4</w:t>
      </w:r>
      <w:r w:rsidRPr="00F16C18">
        <w:rPr>
          <w:vertAlign w:val="superscript"/>
        </w:rPr>
        <w:t>–</w:t>
      </w:r>
      <w:r w:rsidRPr="00F16C18">
        <w:t>)</w:t>
      </w:r>
    </w:p>
    <w:p w14:paraId="2CBC1F6B" w14:textId="4471892F" w:rsidR="001A5DCF" w:rsidRDefault="00654567" w:rsidP="001A5DCF">
      <w:pPr>
        <w:pStyle w:val="Heading2"/>
      </w:pPr>
      <w:r>
        <w:t>Method</w:t>
      </w:r>
    </w:p>
    <w:p w14:paraId="27210408" w14:textId="38A46805" w:rsidR="001A5DCF" w:rsidRDefault="001A5DCF" w:rsidP="001A5DCF"/>
    <w:p w14:paraId="0AF54B5F" w14:textId="090207EF" w:rsidR="001A5DCF" w:rsidRDefault="001A5DCF" w:rsidP="001A5DCF">
      <w:r w:rsidRPr="001A5DCF">
        <w:t>Evaporation of ammonia gas from ammonia solution:</w:t>
      </w:r>
    </w:p>
    <w:p w14:paraId="2DF70D0E" w14:textId="77777777" w:rsidR="001A5DCF" w:rsidRPr="001A5DCF" w:rsidRDefault="001A5DCF" w:rsidP="001A5DCF"/>
    <w:p w14:paraId="7F592133" w14:textId="77777777" w:rsidR="001A5DCF" w:rsidRPr="001A5DCF" w:rsidRDefault="001A5DCF" w:rsidP="001A5DCF">
      <w:r w:rsidRPr="001A5DCF">
        <w:t>NH</w:t>
      </w:r>
      <w:r w:rsidRPr="001A5DCF">
        <w:rPr>
          <w:vertAlign w:val="subscript"/>
        </w:rPr>
        <w:t>3</w:t>
      </w:r>
      <w:r w:rsidRPr="001A5DCF">
        <w:t>(</w:t>
      </w:r>
      <w:proofErr w:type="spellStart"/>
      <w:r w:rsidRPr="001A5DCF">
        <w:t>aq</w:t>
      </w:r>
      <w:proofErr w:type="spellEnd"/>
      <w:r w:rsidRPr="001A5DCF">
        <w:t>) → NH</w:t>
      </w:r>
      <w:r w:rsidRPr="001A5DCF">
        <w:rPr>
          <w:vertAlign w:val="subscript"/>
        </w:rPr>
        <w:t>3</w:t>
      </w:r>
      <w:r w:rsidRPr="001A5DCF">
        <w:t>(g)</w:t>
      </w:r>
    </w:p>
    <w:p w14:paraId="524E009C" w14:textId="19359F50" w:rsidR="001A5DCF" w:rsidRDefault="00654567" w:rsidP="00654567">
      <w:pPr>
        <w:pStyle w:val="Heading2"/>
      </w:pPr>
      <w:r>
        <w:t>Observations</w:t>
      </w:r>
    </w:p>
    <w:p w14:paraId="392D7018" w14:textId="1F320CC2" w:rsidR="00654567" w:rsidRDefault="00654567" w:rsidP="00654567"/>
    <w:p w14:paraId="3D41A8DF" w14:textId="77777777" w:rsidR="00654567" w:rsidRPr="00654567" w:rsidRDefault="00654567" w:rsidP="00654567">
      <w:pPr>
        <w:numPr>
          <w:ilvl w:val="0"/>
          <w:numId w:val="12"/>
        </w:numPr>
        <w:spacing w:after="120"/>
        <w:ind w:left="714" w:hanging="357"/>
      </w:pPr>
      <w:r w:rsidRPr="00654567">
        <w:t xml:space="preserve">Full-range indicator solution turns </w:t>
      </w:r>
      <w:proofErr w:type="gramStart"/>
      <w:r w:rsidRPr="00654567">
        <w:t>blue-green</w:t>
      </w:r>
      <w:proofErr w:type="gramEnd"/>
      <w:r w:rsidRPr="00654567">
        <w:t>.</w:t>
      </w:r>
    </w:p>
    <w:p w14:paraId="1AF83D58" w14:textId="77777777" w:rsidR="00654567" w:rsidRPr="00654567" w:rsidRDefault="00654567" w:rsidP="00654567">
      <w:pPr>
        <w:numPr>
          <w:ilvl w:val="0"/>
          <w:numId w:val="12"/>
        </w:numPr>
        <w:spacing w:after="120"/>
        <w:ind w:left="714" w:hanging="357"/>
      </w:pPr>
      <w:proofErr w:type="gramStart"/>
      <w:r w:rsidRPr="00654567">
        <w:t>Copper(</w:t>
      </w:r>
      <w:proofErr w:type="gramEnd"/>
      <w:r w:rsidRPr="00654567">
        <w:t xml:space="preserve">II) sulfate solution turns hazy and then develops deep blue streaks as the </w:t>
      </w:r>
      <w:proofErr w:type="spellStart"/>
      <w:r w:rsidRPr="00654567">
        <w:t>tetraamminocopper</w:t>
      </w:r>
      <w:proofErr w:type="spellEnd"/>
      <w:r w:rsidRPr="00654567">
        <w:t>(II) ion is formed.</w:t>
      </w:r>
    </w:p>
    <w:p w14:paraId="5E201F41" w14:textId="08DBD0E1" w:rsidR="00654567" w:rsidRPr="00654567" w:rsidRDefault="00654567" w:rsidP="00654567">
      <w:pPr>
        <w:numPr>
          <w:ilvl w:val="0"/>
          <w:numId w:val="12"/>
        </w:numPr>
        <w:spacing w:after="120"/>
        <w:ind w:left="714" w:hanging="357"/>
      </w:pPr>
      <w:r w:rsidRPr="00654567">
        <w:lastRenderedPageBreak/>
        <w:t>Nessler’s reagent turns first yellow then brown. This is a very sensitive test for ammonia. The compound formed has the formula (OHg</w:t>
      </w:r>
      <w:r w:rsidRPr="00654567">
        <w:rPr>
          <w:vertAlign w:val="subscript"/>
        </w:rPr>
        <w:t>2</w:t>
      </w:r>
      <w:r w:rsidRPr="00654567">
        <w:t>NH</w:t>
      </w:r>
      <w:proofErr w:type="gramStart"/>
      <w:r w:rsidRPr="00654567">
        <w:rPr>
          <w:vertAlign w:val="subscript"/>
        </w:rPr>
        <w:t>2</w:t>
      </w:r>
      <w:r w:rsidRPr="00654567">
        <w:t>)I</w:t>
      </w:r>
      <w:proofErr w:type="gramEnd"/>
      <w:r w:rsidRPr="00654567">
        <w:t xml:space="preserve"> and consists of covalent metal–non-metal bonds which might provide an interesting point for subsequent class discussion.</w:t>
      </w:r>
    </w:p>
    <w:p w14:paraId="7C1B63C7" w14:textId="0EAFFDFB" w:rsidR="00DD3EB6" w:rsidRDefault="00DD3EB6" w:rsidP="00DD3EB6">
      <w:pPr>
        <w:pStyle w:val="Heading2"/>
      </w:pPr>
      <w:r>
        <w:t xml:space="preserve">Health, </w:t>
      </w:r>
      <w:proofErr w:type="gramStart"/>
      <w:r>
        <w:t>safety</w:t>
      </w:r>
      <w:proofErr w:type="gramEnd"/>
      <w:r>
        <w:t xml:space="preserve"> and technical notes</w:t>
      </w:r>
    </w:p>
    <w:p w14:paraId="44ACE971" w14:textId="0838103B" w:rsidR="008456F5" w:rsidRDefault="008456F5" w:rsidP="008456F5"/>
    <w:p w14:paraId="5D9F9710" w14:textId="788400EB" w:rsidR="00E21805" w:rsidRPr="00E21805" w:rsidRDefault="00E21805" w:rsidP="00E21805">
      <w:pPr>
        <w:numPr>
          <w:ilvl w:val="0"/>
          <w:numId w:val="13"/>
        </w:numPr>
        <w:spacing w:after="120"/>
        <w:ind w:left="714" w:hanging="357"/>
      </w:pPr>
      <w:r w:rsidRPr="00E21805">
        <w:t>Read our standard health and safety guidance</w:t>
      </w:r>
      <w:r w:rsidR="00873AF7">
        <w:t xml:space="preserve"> (</w:t>
      </w:r>
      <w:hyperlink r:id="rId12" w:history="1">
        <w:r w:rsidR="00873AF7" w:rsidRPr="00AF31FF">
          <w:rPr>
            <w:rStyle w:val="Hyperlink"/>
          </w:rPr>
          <w:t>https://rsc.li/3uJNkkb</w:t>
        </w:r>
      </w:hyperlink>
      <w:r w:rsidR="00873AF7">
        <w:t>)</w:t>
      </w:r>
      <w:r w:rsidRPr="00E21805">
        <w:t>.</w:t>
      </w:r>
    </w:p>
    <w:p w14:paraId="4E7325E4" w14:textId="77777777" w:rsidR="00E21805" w:rsidRPr="00E21805" w:rsidRDefault="00E21805" w:rsidP="00E21805">
      <w:pPr>
        <w:numPr>
          <w:ilvl w:val="0"/>
          <w:numId w:val="13"/>
        </w:numPr>
        <w:spacing w:after="120"/>
        <w:ind w:left="714" w:hanging="357"/>
      </w:pPr>
      <w:r w:rsidRPr="00E21805">
        <w:t>Wear eye protection throughout (splash-resistant goggles to BS EN166 3).</w:t>
      </w:r>
    </w:p>
    <w:p w14:paraId="328176F1" w14:textId="77777777" w:rsidR="00E21805" w:rsidRPr="00E21805" w:rsidRDefault="00E21805" w:rsidP="00E21805">
      <w:pPr>
        <w:numPr>
          <w:ilvl w:val="0"/>
          <w:numId w:val="13"/>
        </w:numPr>
        <w:spacing w:after="120"/>
        <w:ind w:left="714" w:hanging="357"/>
      </w:pPr>
      <w:r w:rsidRPr="00E21805">
        <w:t>Wear protective gloves.</w:t>
      </w:r>
    </w:p>
    <w:p w14:paraId="2BBCD099" w14:textId="77777777" w:rsidR="00E21805" w:rsidRPr="00E21805" w:rsidRDefault="00E21805" w:rsidP="00E21805">
      <w:pPr>
        <w:numPr>
          <w:ilvl w:val="0"/>
          <w:numId w:val="13"/>
        </w:numPr>
        <w:spacing w:after="120"/>
        <w:ind w:left="714" w:hanging="357"/>
      </w:pPr>
      <w:r w:rsidRPr="00E21805">
        <w:t>Nessler’s reagent, K</w:t>
      </w:r>
      <w:r w:rsidRPr="00E21805">
        <w:rPr>
          <w:vertAlign w:val="subscript"/>
        </w:rPr>
        <w:t>2</w:t>
      </w:r>
      <w:r w:rsidRPr="00E21805">
        <w:t>HgI</w:t>
      </w:r>
      <w:r w:rsidRPr="00E21805">
        <w:rPr>
          <w:vertAlign w:val="subscript"/>
        </w:rPr>
        <w:t>4</w:t>
      </w:r>
      <w:r w:rsidRPr="00E21805">
        <w:t>, is EXTREMELY TOXIC by all routes and contains mercury. It is also CORROSIVE and toxic to aquatic life. Avoid contact with the skin and wash off quickly with water if this does occur.</w:t>
      </w:r>
    </w:p>
    <w:p w14:paraId="059B3748" w14:textId="77777777" w:rsidR="00E21805" w:rsidRPr="00E21805" w:rsidRDefault="00E21805" w:rsidP="00E21805">
      <w:pPr>
        <w:numPr>
          <w:ilvl w:val="0"/>
          <w:numId w:val="13"/>
        </w:numPr>
        <w:spacing w:after="120"/>
        <w:ind w:left="714" w:hanging="357"/>
      </w:pPr>
      <w:r w:rsidRPr="00E21805">
        <w:t>Ammonia solution, 3 mol dm</w:t>
      </w:r>
      <w:r w:rsidRPr="00E21805">
        <w:rPr>
          <w:vertAlign w:val="superscript"/>
        </w:rPr>
        <w:t>–3</w:t>
      </w:r>
      <w:r w:rsidRPr="00E21805">
        <w:t> NH</w:t>
      </w:r>
      <w:r w:rsidRPr="00E21805">
        <w:rPr>
          <w:vertAlign w:val="subscript"/>
        </w:rPr>
        <w:t>3</w:t>
      </w:r>
      <w:r w:rsidRPr="00E21805">
        <w:t>(</w:t>
      </w:r>
      <w:proofErr w:type="spellStart"/>
      <w:r w:rsidRPr="00E21805">
        <w:t>aq</w:t>
      </w:r>
      <w:proofErr w:type="spellEnd"/>
      <w:r w:rsidRPr="00E21805">
        <w:t xml:space="preserve">), is CORROSIVE – see CLEAPSS </w:t>
      </w:r>
      <w:proofErr w:type="spellStart"/>
      <w:r w:rsidRPr="00E21805">
        <w:t>Hazcard</w:t>
      </w:r>
      <w:proofErr w:type="spellEnd"/>
      <w:r w:rsidRPr="00E21805">
        <w:t> HC006 and CLEAPSS Recipe Book RB006.</w:t>
      </w:r>
    </w:p>
    <w:p w14:paraId="2EA47363" w14:textId="77777777" w:rsidR="00E21805" w:rsidRPr="00E21805" w:rsidRDefault="00E21805" w:rsidP="00E21805">
      <w:pPr>
        <w:numPr>
          <w:ilvl w:val="0"/>
          <w:numId w:val="13"/>
        </w:numPr>
        <w:spacing w:after="120"/>
        <w:ind w:left="714" w:hanging="357"/>
      </w:pPr>
      <w:proofErr w:type="gramStart"/>
      <w:r w:rsidRPr="00E21805">
        <w:t>Copper(</w:t>
      </w:r>
      <w:proofErr w:type="gramEnd"/>
      <w:r w:rsidRPr="00E21805">
        <w:t>II) sulfate solution, 0.2 mol dm</w:t>
      </w:r>
      <w:r w:rsidRPr="00E21805">
        <w:rPr>
          <w:vertAlign w:val="superscript"/>
        </w:rPr>
        <w:t>–3</w:t>
      </w:r>
      <w:r w:rsidRPr="00E21805">
        <w:t> CuSO</w:t>
      </w:r>
      <w:r w:rsidRPr="00E21805">
        <w:rPr>
          <w:vertAlign w:val="subscript"/>
        </w:rPr>
        <w:t>4</w:t>
      </w:r>
      <w:r w:rsidRPr="00E21805">
        <w:t>(</w:t>
      </w:r>
      <w:proofErr w:type="spellStart"/>
      <w:r w:rsidRPr="00E21805">
        <w:t>aq</w:t>
      </w:r>
      <w:proofErr w:type="spellEnd"/>
      <w:r w:rsidRPr="00E21805">
        <w:t xml:space="preserve">), causes eye damage and is toxic to aquatic life – see CLEAPSS </w:t>
      </w:r>
      <w:proofErr w:type="spellStart"/>
      <w:r w:rsidRPr="00E21805">
        <w:t>Hazcard</w:t>
      </w:r>
      <w:proofErr w:type="spellEnd"/>
      <w:r w:rsidRPr="00E21805">
        <w:t> HC027c and CLEAPSS Recipe Book RB031.</w:t>
      </w:r>
    </w:p>
    <w:p w14:paraId="0764FA7E" w14:textId="3742E421" w:rsidR="00112E78" w:rsidRPr="00112E78" w:rsidRDefault="00E21805" w:rsidP="00E21805">
      <w:pPr>
        <w:numPr>
          <w:ilvl w:val="0"/>
          <w:numId w:val="13"/>
        </w:numPr>
        <w:spacing w:after="120"/>
        <w:ind w:left="714" w:hanging="357"/>
      </w:pPr>
      <w:r w:rsidRPr="00E21805">
        <w:t>Some formulations of universal indicator can still be flammable at a 1:1 dilution. Keep away from sources of ignition.</w:t>
      </w:r>
    </w:p>
    <w:sectPr w:rsidR="00112E78" w:rsidRPr="00112E78" w:rsidSect="00C72548">
      <w:footerReference w:type="default" r:id="rId13"/>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0E7B8" w14:textId="77777777" w:rsidR="00166C12" w:rsidRDefault="00166C12" w:rsidP="00883634">
      <w:pPr>
        <w:spacing w:line="240" w:lineRule="auto"/>
      </w:pPr>
      <w:r>
        <w:separator/>
      </w:r>
    </w:p>
  </w:endnote>
  <w:endnote w:type="continuationSeparator" w:id="0">
    <w:p w14:paraId="30FDC789" w14:textId="77777777" w:rsidR="00166C12" w:rsidRDefault="00166C12"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CB23C" w14:textId="06452AA7"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7" name="Picture 7"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6F1D7B">
      <w:rPr>
        <w:sz w:val="16"/>
        <w:szCs w:val="16"/>
      </w:rPr>
      <w:t xml:space="preserve"> </w:t>
    </w:r>
    <w:hyperlink r:id="rId2" w:history="1">
      <w:r w:rsidR="00976BB0" w:rsidRPr="00400A28">
        <w:rPr>
          <w:rStyle w:val="Hyperlink"/>
          <w:sz w:val="16"/>
          <w:szCs w:val="16"/>
        </w:rPr>
        <w:t>https://rsc.li/3gMJNxk</w:t>
      </w:r>
    </w:hyperlink>
    <w:r w:rsidR="00976BB0">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9EAC7" w14:textId="77777777" w:rsidR="00166C12" w:rsidRDefault="00166C12" w:rsidP="00883634">
      <w:pPr>
        <w:spacing w:line="240" w:lineRule="auto"/>
      </w:pPr>
      <w:r>
        <w:separator/>
      </w:r>
    </w:p>
  </w:footnote>
  <w:footnote w:type="continuationSeparator" w:id="0">
    <w:p w14:paraId="009FA6C1" w14:textId="77777777" w:rsidR="00166C12" w:rsidRDefault="00166C12"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2BBB"/>
    <w:multiLevelType w:val="hybridMultilevel"/>
    <w:tmpl w:val="A4C6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72473"/>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B4FEA"/>
    <w:multiLevelType w:val="multilevel"/>
    <w:tmpl w:val="26CA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8161C"/>
    <w:multiLevelType w:val="hybridMultilevel"/>
    <w:tmpl w:val="B350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7D3BA9"/>
    <w:multiLevelType w:val="multilevel"/>
    <w:tmpl w:val="EE2A5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5768F7"/>
    <w:multiLevelType w:val="multilevel"/>
    <w:tmpl w:val="1B66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FD4782"/>
    <w:multiLevelType w:val="multilevel"/>
    <w:tmpl w:val="0692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E57C4B"/>
    <w:multiLevelType w:val="multilevel"/>
    <w:tmpl w:val="51C8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531460"/>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EF36EC"/>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02234C"/>
    <w:multiLevelType w:val="multilevel"/>
    <w:tmpl w:val="C0CCC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9D466E"/>
    <w:multiLevelType w:val="multilevel"/>
    <w:tmpl w:val="7794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222FD4"/>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EC55E8"/>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2"/>
  </w:num>
  <w:num w:numId="3">
    <w:abstractNumId w:val="3"/>
  </w:num>
  <w:num w:numId="4">
    <w:abstractNumId w:val="8"/>
  </w:num>
  <w:num w:numId="5">
    <w:abstractNumId w:val="13"/>
  </w:num>
  <w:num w:numId="6">
    <w:abstractNumId w:val="1"/>
  </w:num>
  <w:num w:numId="7">
    <w:abstractNumId w:val="9"/>
  </w:num>
  <w:num w:numId="8">
    <w:abstractNumId w:val="10"/>
  </w:num>
  <w:num w:numId="9">
    <w:abstractNumId w:val="7"/>
  </w:num>
  <w:num w:numId="10">
    <w:abstractNumId w:val="11"/>
  </w:num>
  <w:num w:numId="11">
    <w:abstractNumId w:val="5"/>
  </w:num>
  <w:num w:numId="12">
    <w:abstractNumId w:val="4"/>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22F9"/>
    <w:rsid w:val="000259B8"/>
    <w:rsid w:val="00060A19"/>
    <w:rsid w:val="00067A39"/>
    <w:rsid w:val="0010594E"/>
    <w:rsid w:val="00107A74"/>
    <w:rsid w:val="00112E78"/>
    <w:rsid w:val="00121D41"/>
    <w:rsid w:val="0015353F"/>
    <w:rsid w:val="001546EA"/>
    <w:rsid w:val="001554E7"/>
    <w:rsid w:val="001637E5"/>
    <w:rsid w:val="00166C12"/>
    <w:rsid w:val="001807B0"/>
    <w:rsid w:val="00196E56"/>
    <w:rsid w:val="001A5DCF"/>
    <w:rsid w:val="002370C0"/>
    <w:rsid w:val="002479DD"/>
    <w:rsid w:val="002B7E15"/>
    <w:rsid w:val="002E173F"/>
    <w:rsid w:val="00315C09"/>
    <w:rsid w:val="00357DE0"/>
    <w:rsid w:val="00357F23"/>
    <w:rsid w:val="00384C00"/>
    <w:rsid w:val="003F3444"/>
    <w:rsid w:val="00402AB6"/>
    <w:rsid w:val="00412A04"/>
    <w:rsid w:val="00452BAE"/>
    <w:rsid w:val="004F37DE"/>
    <w:rsid w:val="004F3F6E"/>
    <w:rsid w:val="00530E52"/>
    <w:rsid w:val="00542204"/>
    <w:rsid w:val="005819CE"/>
    <w:rsid w:val="005E2D53"/>
    <w:rsid w:val="005E4E58"/>
    <w:rsid w:val="005F10C0"/>
    <w:rsid w:val="00623869"/>
    <w:rsid w:val="00654567"/>
    <w:rsid w:val="006602A0"/>
    <w:rsid w:val="00683FBC"/>
    <w:rsid w:val="00695E32"/>
    <w:rsid w:val="006A7649"/>
    <w:rsid w:val="006B2D5F"/>
    <w:rsid w:val="006E6495"/>
    <w:rsid w:val="006F11C7"/>
    <w:rsid w:val="006F1D7B"/>
    <w:rsid w:val="007648CD"/>
    <w:rsid w:val="00795D31"/>
    <w:rsid w:val="007A2399"/>
    <w:rsid w:val="007B29DA"/>
    <w:rsid w:val="007C5B2B"/>
    <w:rsid w:val="00801C93"/>
    <w:rsid w:val="008456F5"/>
    <w:rsid w:val="008649C9"/>
    <w:rsid w:val="00873AF7"/>
    <w:rsid w:val="00883634"/>
    <w:rsid w:val="008D2638"/>
    <w:rsid w:val="00942589"/>
    <w:rsid w:val="00944467"/>
    <w:rsid w:val="00955E57"/>
    <w:rsid w:val="009662E3"/>
    <w:rsid w:val="00976BB0"/>
    <w:rsid w:val="009827C9"/>
    <w:rsid w:val="009A34C5"/>
    <w:rsid w:val="009A4E4D"/>
    <w:rsid w:val="009C28B0"/>
    <w:rsid w:val="009C6C7F"/>
    <w:rsid w:val="00AD3FFE"/>
    <w:rsid w:val="00AE5967"/>
    <w:rsid w:val="00B2046D"/>
    <w:rsid w:val="00B31EB6"/>
    <w:rsid w:val="00B76B6A"/>
    <w:rsid w:val="00B802D2"/>
    <w:rsid w:val="00B87E51"/>
    <w:rsid w:val="00B90427"/>
    <w:rsid w:val="00BC5C4C"/>
    <w:rsid w:val="00BC7C98"/>
    <w:rsid w:val="00C0182D"/>
    <w:rsid w:val="00C11EC1"/>
    <w:rsid w:val="00C611F9"/>
    <w:rsid w:val="00C72548"/>
    <w:rsid w:val="00CF5E46"/>
    <w:rsid w:val="00D15C73"/>
    <w:rsid w:val="00D32040"/>
    <w:rsid w:val="00D834C4"/>
    <w:rsid w:val="00DB7CF6"/>
    <w:rsid w:val="00DC4499"/>
    <w:rsid w:val="00DD3EB6"/>
    <w:rsid w:val="00E04D15"/>
    <w:rsid w:val="00E21805"/>
    <w:rsid w:val="00E6281A"/>
    <w:rsid w:val="00E6343B"/>
    <w:rsid w:val="00E64520"/>
    <w:rsid w:val="00E81B12"/>
    <w:rsid w:val="00EA245E"/>
    <w:rsid w:val="00EE1EE1"/>
    <w:rsid w:val="00EE4ECC"/>
    <w:rsid w:val="00EE7B55"/>
    <w:rsid w:val="00F16C18"/>
    <w:rsid w:val="00F27931"/>
    <w:rsid w:val="00F36FC4"/>
    <w:rsid w:val="00F93ED9"/>
    <w:rsid w:val="00FB1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6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30049">
      <w:bodyDiv w:val="1"/>
      <w:marLeft w:val="0"/>
      <w:marRight w:val="0"/>
      <w:marTop w:val="0"/>
      <w:marBottom w:val="0"/>
      <w:divBdr>
        <w:top w:val="none" w:sz="0" w:space="0" w:color="auto"/>
        <w:left w:val="none" w:sz="0" w:space="0" w:color="auto"/>
        <w:bottom w:val="none" w:sz="0" w:space="0" w:color="auto"/>
        <w:right w:val="none" w:sz="0" w:space="0" w:color="auto"/>
      </w:divBdr>
    </w:div>
    <w:div w:id="116489713">
      <w:bodyDiv w:val="1"/>
      <w:marLeft w:val="0"/>
      <w:marRight w:val="0"/>
      <w:marTop w:val="0"/>
      <w:marBottom w:val="0"/>
      <w:divBdr>
        <w:top w:val="none" w:sz="0" w:space="0" w:color="auto"/>
        <w:left w:val="none" w:sz="0" w:space="0" w:color="auto"/>
        <w:bottom w:val="none" w:sz="0" w:space="0" w:color="auto"/>
        <w:right w:val="none" w:sz="0" w:space="0" w:color="auto"/>
      </w:divBdr>
    </w:div>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126093605">
      <w:bodyDiv w:val="1"/>
      <w:marLeft w:val="0"/>
      <w:marRight w:val="0"/>
      <w:marTop w:val="0"/>
      <w:marBottom w:val="0"/>
      <w:divBdr>
        <w:top w:val="none" w:sz="0" w:space="0" w:color="auto"/>
        <w:left w:val="none" w:sz="0" w:space="0" w:color="auto"/>
        <w:bottom w:val="none" w:sz="0" w:space="0" w:color="auto"/>
        <w:right w:val="none" w:sz="0" w:space="0" w:color="auto"/>
      </w:divBdr>
    </w:div>
    <w:div w:id="130560890">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625965497">
      <w:bodyDiv w:val="1"/>
      <w:marLeft w:val="0"/>
      <w:marRight w:val="0"/>
      <w:marTop w:val="0"/>
      <w:marBottom w:val="0"/>
      <w:divBdr>
        <w:top w:val="none" w:sz="0" w:space="0" w:color="auto"/>
        <w:left w:val="none" w:sz="0" w:space="0" w:color="auto"/>
        <w:bottom w:val="none" w:sz="0" w:space="0" w:color="auto"/>
        <w:right w:val="none" w:sz="0" w:space="0" w:color="auto"/>
      </w:divBdr>
    </w:div>
    <w:div w:id="732895293">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15342246">
      <w:bodyDiv w:val="1"/>
      <w:marLeft w:val="0"/>
      <w:marRight w:val="0"/>
      <w:marTop w:val="0"/>
      <w:marBottom w:val="0"/>
      <w:divBdr>
        <w:top w:val="none" w:sz="0" w:space="0" w:color="auto"/>
        <w:left w:val="none" w:sz="0" w:space="0" w:color="auto"/>
        <w:bottom w:val="none" w:sz="0" w:space="0" w:color="auto"/>
        <w:right w:val="none" w:sz="0" w:space="0" w:color="auto"/>
      </w:divBdr>
    </w:div>
    <w:div w:id="852037733">
      <w:bodyDiv w:val="1"/>
      <w:marLeft w:val="0"/>
      <w:marRight w:val="0"/>
      <w:marTop w:val="0"/>
      <w:marBottom w:val="0"/>
      <w:divBdr>
        <w:top w:val="none" w:sz="0" w:space="0" w:color="auto"/>
        <w:left w:val="none" w:sz="0" w:space="0" w:color="auto"/>
        <w:bottom w:val="none" w:sz="0" w:space="0" w:color="auto"/>
        <w:right w:val="none" w:sz="0" w:space="0" w:color="auto"/>
      </w:divBdr>
    </w:div>
    <w:div w:id="897863332">
      <w:bodyDiv w:val="1"/>
      <w:marLeft w:val="0"/>
      <w:marRight w:val="0"/>
      <w:marTop w:val="0"/>
      <w:marBottom w:val="0"/>
      <w:divBdr>
        <w:top w:val="none" w:sz="0" w:space="0" w:color="auto"/>
        <w:left w:val="none" w:sz="0" w:space="0" w:color="auto"/>
        <w:bottom w:val="none" w:sz="0" w:space="0" w:color="auto"/>
        <w:right w:val="none" w:sz="0" w:space="0" w:color="auto"/>
      </w:divBdr>
    </w:div>
    <w:div w:id="931013645">
      <w:bodyDiv w:val="1"/>
      <w:marLeft w:val="0"/>
      <w:marRight w:val="0"/>
      <w:marTop w:val="0"/>
      <w:marBottom w:val="0"/>
      <w:divBdr>
        <w:top w:val="none" w:sz="0" w:space="0" w:color="auto"/>
        <w:left w:val="none" w:sz="0" w:space="0" w:color="auto"/>
        <w:bottom w:val="none" w:sz="0" w:space="0" w:color="auto"/>
        <w:right w:val="none" w:sz="0" w:space="0" w:color="auto"/>
      </w:divBdr>
    </w:div>
    <w:div w:id="1153790891">
      <w:bodyDiv w:val="1"/>
      <w:marLeft w:val="0"/>
      <w:marRight w:val="0"/>
      <w:marTop w:val="0"/>
      <w:marBottom w:val="0"/>
      <w:divBdr>
        <w:top w:val="none" w:sz="0" w:space="0" w:color="auto"/>
        <w:left w:val="none" w:sz="0" w:space="0" w:color="auto"/>
        <w:bottom w:val="none" w:sz="0" w:space="0" w:color="auto"/>
        <w:right w:val="none" w:sz="0" w:space="0" w:color="auto"/>
      </w:divBdr>
    </w:div>
    <w:div w:id="1318221276">
      <w:bodyDiv w:val="1"/>
      <w:marLeft w:val="0"/>
      <w:marRight w:val="0"/>
      <w:marTop w:val="0"/>
      <w:marBottom w:val="0"/>
      <w:divBdr>
        <w:top w:val="none" w:sz="0" w:space="0" w:color="auto"/>
        <w:left w:val="none" w:sz="0" w:space="0" w:color="auto"/>
        <w:bottom w:val="none" w:sz="0" w:space="0" w:color="auto"/>
        <w:right w:val="none" w:sz="0" w:space="0" w:color="auto"/>
      </w:divBdr>
    </w:div>
    <w:div w:id="1411854754">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651984691">
      <w:bodyDiv w:val="1"/>
      <w:marLeft w:val="0"/>
      <w:marRight w:val="0"/>
      <w:marTop w:val="0"/>
      <w:marBottom w:val="0"/>
      <w:divBdr>
        <w:top w:val="none" w:sz="0" w:space="0" w:color="auto"/>
        <w:left w:val="none" w:sz="0" w:space="0" w:color="auto"/>
        <w:bottom w:val="none" w:sz="0" w:space="0" w:color="auto"/>
        <w:right w:val="none" w:sz="0" w:space="0" w:color="auto"/>
      </w:divBdr>
    </w:div>
    <w:div w:id="1665011221">
      <w:bodyDiv w:val="1"/>
      <w:marLeft w:val="0"/>
      <w:marRight w:val="0"/>
      <w:marTop w:val="0"/>
      <w:marBottom w:val="0"/>
      <w:divBdr>
        <w:top w:val="none" w:sz="0" w:space="0" w:color="auto"/>
        <w:left w:val="none" w:sz="0" w:space="0" w:color="auto"/>
        <w:bottom w:val="none" w:sz="0" w:space="0" w:color="auto"/>
        <w:right w:val="none" w:sz="0" w:space="0" w:color="auto"/>
      </w:divBdr>
    </w:div>
    <w:div w:id="1691490348">
      <w:bodyDiv w:val="1"/>
      <w:marLeft w:val="0"/>
      <w:marRight w:val="0"/>
      <w:marTop w:val="0"/>
      <w:marBottom w:val="0"/>
      <w:divBdr>
        <w:top w:val="none" w:sz="0" w:space="0" w:color="auto"/>
        <w:left w:val="none" w:sz="0" w:space="0" w:color="auto"/>
        <w:bottom w:val="none" w:sz="0" w:space="0" w:color="auto"/>
        <w:right w:val="none" w:sz="0" w:space="0" w:color="auto"/>
      </w:divBdr>
    </w:div>
    <w:div w:id="1715689667">
      <w:bodyDiv w:val="1"/>
      <w:marLeft w:val="0"/>
      <w:marRight w:val="0"/>
      <w:marTop w:val="0"/>
      <w:marBottom w:val="0"/>
      <w:divBdr>
        <w:top w:val="none" w:sz="0" w:space="0" w:color="auto"/>
        <w:left w:val="none" w:sz="0" w:space="0" w:color="auto"/>
        <w:bottom w:val="none" w:sz="0" w:space="0" w:color="auto"/>
        <w:right w:val="none" w:sz="0" w:space="0" w:color="auto"/>
      </w:divBdr>
    </w:div>
    <w:div w:id="1752580333">
      <w:bodyDiv w:val="1"/>
      <w:marLeft w:val="0"/>
      <w:marRight w:val="0"/>
      <w:marTop w:val="0"/>
      <w:marBottom w:val="0"/>
      <w:divBdr>
        <w:top w:val="none" w:sz="0" w:space="0" w:color="auto"/>
        <w:left w:val="none" w:sz="0" w:space="0" w:color="auto"/>
        <w:bottom w:val="none" w:sz="0" w:space="0" w:color="auto"/>
        <w:right w:val="none" w:sz="0" w:space="0" w:color="auto"/>
      </w:divBdr>
    </w:div>
    <w:div w:id="2008434305">
      <w:bodyDiv w:val="1"/>
      <w:marLeft w:val="0"/>
      <w:marRight w:val="0"/>
      <w:marTop w:val="0"/>
      <w:marBottom w:val="0"/>
      <w:divBdr>
        <w:top w:val="none" w:sz="0" w:space="0" w:color="auto"/>
        <w:left w:val="none" w:sz="0" w:space="0" w:color="auto"/>
        <w:bottom w:val="none" w:sz="0" w:space="0" w:color="auto"/>
        <w:right w:val="none" w:sz="0" w:space="0" w:color="auto"/>
      </w:divBdr>
    </w:div>
    <w:div w:id="2073503177">
      <w:bodyDiv w:val="1"/>
      <w:marLeft w:val="0"/>
      <w:marRight w:val="0"/>
      <w:marTop w:val="0"/>
      <w:marBottom w:val="0"/>
      <w:divBdr>
        <w:top w:val="none" w:sz="0" w:space="0" w:color="auto"/>
        <w:left w:val="none" w:sz="0" w:space="0" w:color="auto"/>
        <w:bottom w:val="none" w:sz="0" w:space="0" w:color="auto"/>
        <w:right w:val="none" w:sz="0" w:space="0" w:color="auto"/>
      </w:divBdr>
    </w:div>
    <w:div w:id="209447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uJNkk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eioSQW"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rsc.li/3gMJNx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13852-85C2-4AD3-84B5-1733ACFFCA21}">
  <ds:schemaRefs>
    <ds:schemaRef ds:uri="http://www.w3.org/XML/1998/namespace"/>
    <ds:schemaRef ds:uri="http://purl.org/dc/dcmitype/"/>
    <ds:schemaRef ds:uri="472a3ddc-6003-415e-a262-c0a931a5a88b"/>
    <ds:schemaRef ds:uri="http://purl.org/dc/elements/1.1/"/>
    <ds:schemaRef ds:uri="http://schemas.microsoft.com/office/2006/documentManagement/types"/>
    <ds:schemaRef ds:uri="735c6f9d-ea00-4d07-8164-4ddae4f5c3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4.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Microscale reactions of ammonia - student sheet</vt:lpstr>
    </vt:vector>
  </TitlesOfParts>
  <Company>Royal Society Of Chemistry</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Microscale reactions of ammonia - teacher notes</dc:title>
  <dc:subject>Use these teacher notes with the accompanying student handout to explore some reactions of ammonia on a microscale.</dc:subject>
  <dc:creator>Royal Society of Chemistry</dc:creator>
  <cp:keywords/>
  <dc:description/>
  <cp:lastModifiedBy>Chris Runciman</cp:lastModifiedBy>
  <cp:revision>13</cp:revision>
  <dcterms:created xsi:type="dcterms:W3CDTF">2021-05-04T10:24:00Z</dcterms:created>
  <dcterms:modified xsi:type="dcterms:W3CDTF">2021-05-13T13:42:00Z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