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0E0799C0" w:rsidR="009C6C7F" w:rsidRDefault="006462C5" w:rsidP="006E6495">
      <w:pPr>
        <w:pStyle w:val="Heading1"/>
      </w:pPr>
      <w:r>
        <w:t xml:space="preserve">Microscale redox reactions – </w:t>
      </w:r>
      <w:r w:rsidR="00B247F6">
        <w:t>teacher notes</w:t>
      </w:r>
    </w:p>
    <w:p w14:paraId="6BD8EAEC" w14:textId="3C389F31" w:rsidR="00EE7B55" w:rsidRDefault="00EE7B55" w:rsidP="006E6495"/>
    <w:p w14:paraId="633FE19B" w14:textId="6098D560" w:rsidR="00695E32" w:rsidRPr="00EE7B55" w:rsidRDefault="006462C5" w:rsidP="006E6495">
      <w:r>
        <w:t xml:space="preserve">In this experiment </w:t>
      </w:r>
      <w:r w:rsidR="00B247F6">
        <w:t>students observe and interpret</w:t>
      </w:r>
      <w:r>
        <w:t xml:space="preserve"> two redox reactions.</w:t>
      </w:r>
    </w:p>
    <w:p w14:paraId="28015323" w14:textId="5810D1B9" w:rsidR="00CA0D18" w:rsidRDefault="00CA0D18" w:rsidP="00CA0D18">
      <w:pPr>
        <w:pStyle w:val="Heading2"/>
      </w:pPr>
      <w:r>
        <w:t>Topic</w:t>
      </w:r>
    </w:p>
    <w:p w14:paraId="184A9900" w14:textId="00DC52F8" w:rsidR="00CA0D18" w:rsidRDefault="00CA0D18" w:rsidP="00CA0D18"/>
    <w:p w14:paraId="6633B129" w14:textId="16791CA9" w:rsidR="00CA0D18" w:rsidRDefault="00CA0D18" w:rsidP="00CA0D18">
      <w:r>
        <w:t>Transition elements – redox reactions; electrochemistry – redox reactions – changes in reduction potentials down Group VII.</w:t>
      </w:r>
    </w:p>
    <w:p w14:paraId="3B900B40" w14:textId="3F4D38F1" w:rsidR="00CA0D18" w:rsidRDefault="00CA0D18" w:rsidP="00CA0D18">
      <w:pPr>
        <w:pStyle w:val="Heading2"/>
      </w:pPr>
      <w:r>
        <w:t>Timing</w:t>
      </w:r>
    </w:p>
    <w:p w14:paraId="108E3C36" w14:textId="3BA8A21C" w:rsidR="00CA0D18" w:rsidRDefault="00CA0D18" w:rsidP="00CA0D18"/>
    <w:p w14:paraId="4F5FD261" w14:textId="2D5C61A9" w:rsidR="00CA0D18" w:rsidRDefault="00CA0D18" w:rsidP="00CA0D18">
      <w:r>
        <w:t>20 minutes</w:t>
      </w:r>
    </w:p>
    <w:p w14:paraId="4C1B6849" w14:textId="1621C74A" w:rsidR="00CA0D18" w:rsidRDefault="00CA0D18" w:rsidP="00CA0D18">
      <w:pPr>
        <w:pStyle w:val="Heading2"/>
      </w:pPr>
      <w:r>
        <w:t>Equipment</w:t>
      </w:r>
    </w:p>
    <w:p w14:paraId="28E71FC6" w14:textId="45BACA1E" w:rsidR="00CA0D18" w:rsidRDefault="00CA0D18" w:rsidP="00CA0D18"/>
    <w:p w14:paraId="29E8BCE9" w14:textId="50A8C86D" w:rsidR="00CA0D18" w:rsidRDefault="00CA0D18" w:rsidP="00CA0D18">
      <w:pPr>
        <w:pStyle w:val="Heading3"/>
      </w:pPr>
      <w:r>
        <w:t>Apparatus</w:t>
      </w:r>
    </w:p>
    <w:p w14:paraId="761DCE11" w14:textId="70776586" w:rsidR="00CA0D18" w:rsidRDefault="00CA0D18" w:rsidP="00CA0D18"/>
    <w:p w14:paraId="1A3A6358" w14:textId="40ECEB07" w:rsidR="00EE56AE" w:rsidRDefault="00EE56AE" w:rsidP="00752B3A">
      <w:pPr>
        <w:numPr>
          <w:ilvl w:val="0"/>
          <w:numId w:val="12"/>
        </w:numPr>
        <w:spacing w:after="120"/>
        <w:ind w:left="714" w:hanging="357"/>
      </w:pPr>
      <w:r>
        <w:t>Eye protection</w:t>
      </w:r>
    </w:p>
    <w:p w14:paraId="2A9B02BE" w14:textId="4BE48E78" w:rsidR="00752B3A" w:rsidRPr="00752B3A" w:rsidRDefault="00752B3A" w:rsidP="00752B3A">
      <w:pPr>
        <w:numPr>
          <w:ilvl w:val="0"/>
          <w:numId w:val="12"/>
        </w:numPr>
        <w:spacing w:after="120"/>
        <w:ind w:left="714" w:hanging="357"/>
      </w:pPr>
      <w:r w:rsidRPr="00752B3A">
        <w:t>Student worksheet</w:t>
      </w:r>
    </w:p>
    <w:p w14:paraId="17C4FD6E" w14:textId="77777777" w:rsidR="00752B3A" w:rsidRPr="00752B3A" w:rsidRDefault="00752B3A" w:rsidP="00752B3A">
      <w:pPr>
        <w:numPr>
          <w:ilvl w:val="0"/>
          <w:numId w:val="12"/>
        </w:numPr>
        <w:spacing w:after="120"/>
        <w:ind w:left="714" w:hanging="357"/>
      </w:pPr>
      <w:r w:rsidRPr="00752B3A">
        <w:t xml:space="preserve">Clear plastic sheet (eg </w:t>
      </w:r>
      <w:proofErr w:type="spellStart"/>
      <w:r w:rsidRPr="00752B3A">
        <w:t>ohp</w:t>
      </w:r>
      <w:proofErr w:type="spellEnd"/>
      <w:r w:rsidRPr="00752B3A">
        <w:t xml:space="preserve"> sheet)</w:t>
      </w:r>
    </w:p>
    <w:p w14:paraId="7B3B2698" w14:textId="77777777" w:rsidR="00752B3A" w:rsidRPr="00752B3A" w:rsidRDefault="00752B3A" w:rsidP="00752B3A">
      <w:pPr>
        <w:numPr>
          <w:ilvl w:val="0"/>
          <w:numId w:val="12"/>
        </w:numPr>
        <w:spacing w:after="120"/>
        <w:ind w:left="714" w:hanging="357"/>
      </w:pPr>
      <w:r w:rsidRPr="00752B3A">
        <w:t>Magnifying glass</w:t>
      </w:r>
    </w:p>
    <w:p w14:paraId="2F7EAF8E" w14:textId="17AB90D6" w:rsidR="00CA0D18" w:rsidRDefault="00CA0D18" w:rsidP="00CA0D18"/>
    <w:p w14:paraId="2BE02FBE" w14:textId="2E577DF6" w:rsidR="00752B3A" w:rsidRDefault="00752B3A" w:rsidP="00752B3A">
      <w:pPr>
        <w:pStyle w:val="Heading3"/>
      </w:pPr>
      <w:r>
        <w:t>Chemicals</w:t>
      </w:r>
    </w:p>
    <w:p w14:paraId="6D881EC8" w14:textId="1A11C563" w:rsidR="00752B3A" w:rsidRDefault="00752B3A" w:rsidP="00752B3A"/>
    <w:p w14:paraId="4DED750F" w14:textId="7D7B77AD" w:rsidR="0017386A" w:rsidRDefault="0017386A" w:rsidP="0017386A">
      <w:r w:rsidRPr="002E4EF0">
        <w:t>Solutions should be contained in plastic pipettes</w:t>
      </w:r>
      <w:r w:rsidR="00EE56AE">
        <w:t>. S</w:t>
      </w:r>
      <w:r w:rsidRPr="002E4EF0">
        <w:t>ee the accompanying guidance on apparatus and techniques for microscale chemistry</w:t>
      </w:r>
      <w:r>
        <w:t xml:space="preserve"> (</w:t>
      </w:r>
      <w:hyperlink r:id="rId11" w:history="1">
        <w:r w:rsidRPr="0032376A">
          <w:rPr>
            <w:rStyle w:val="Hyperlink"/>
          </w:rPr>
          <w:t>https://rsc.li/3udpzAy</w:t>
        </w:r>
      </w:hyperlink>
      <w:r>
        <w:t>)</w:t>
      </w:r>
      <w:r w:rsidR="00EE56AE">
        <w:t>, which includes instructions for preparing solutions.</w:t>
      </w:r>
    </w:p>
    <w:p w14:paraId="36CE1BA4" w14:textId="478F17C4" w:rsidR="00752B3A" w:rsidRDefault="00752B3A" w:rsidP="00752B3A"/>
    <w:p w14:paraId="0E6B51C4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Potassium bromide, 0.2 mol dm</w:t>
      </w:r>
      <w:r w:rsidRPr="00420473">
        <w:rPr>
          <w:vertAlign w:val="superscript"/>
        </w:rPr>
        <w:t>–3</w:t>
      </w:r>
    </w:p>
    <w:p w14:paraId="462C975B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Potassium iodide, 0.2 mol dm</w:t>
      </w:r>
      <w:r w:rsidRPr="00420473">
        <w:rPr>
          <w:vertAlign w:val="superscript"/>
        </w:rPr>
        <w:t>–3</w:t>
      </w:r>
    </w:p>
    <w:p w14:paraId="37B75F04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Sodium chloride, 0.2 mol dm</w:t>
      </w:r>
      <w:r w:rsidRPr="00420473">
        <w:rPr>
          <w:vertAlign w:val="superscript"/>
        </w:rPr>
        <w:t>–3</w:t>
      </w:r>
    </w:p>
    <w:p w14:paraId="10C4F7F2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Silver nitrate, 0.1 mol dm</w:t>
      </w:r>
      <w:r w:rsidRPr="00420473">
        <w:rPr>
          <w:vertAlign w:val="superscript"/>
        </w:rPr>
        <w:t>–3</w:t>
      </w:r>
    </w:p>
    <w:p w14:paraId="6F68AA12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proofErr w:type="gramStart"/>
      <w:r w:rsidRPr="00420473">
        <w:t>Copper(</w:t>
      </w:r>
      <w:proofErr w:type="gramEnd"/>
      <w:r w:rsidRPr="00420473">
        <w:t>II) sulfate, 0.2 mol dm</w:t>
      </w:r>
      <w:r w:rsidRPr="00420473">
        <w:rPr>
          <w:vertAlign w:val="superscript"/>
        </w:rPr>
        <w:t>–3</w:t>
      </w:r>
    </w:p>
    <w:p w14:paraId="1D51665C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proofErr w:type="gramStart"/>
      <w:r w:rsidRPr="00420473">
        <w:t>Iron(</w:t>
      </w:r>
      <w:proofErr w:type="gramEnd"/>
      <w:r w:rsidRPr="00420473">
        <w:t>II) sulfate, 0.2 mol dm</w:t>
      </w:r>
      <w:r w:rsidRPr="00420473">
        <w:rPr>
          <w:vertAlign w:val="superscript"/>
        </w:rPr>
        <w:t>–3</w:t>
      </w:r>
    </w:p>
    <w:p w14:paraId="56D0879A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proofErr w:type="gramStart"/>
      <w:r w:rsidRPr="00420473">
        <w:t>Iron(</w:t>
      </w:r>
      <w:proofErr w:type="gramEnd"/>
      <w:r w:rsidRPr="00420473">
        <w:t>III) nitrate, 0.2 mol dm</w:t>
      </w:r>
      <w:r w:rsidRPr="00420473">
        <w:rPr>
          <w:vertAlign w:val="superscript"/>
        </w:rPr>
        <w:t>–3</w:t>
      </w:r>
    </w:p>
    <w:p w14:paraId="18EEF0EB" w14:textId="77777777" w:rsidR="00420473" w:rsidRPr="00420473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Potassium thiocyanate, 0.1 mol dm</w:t>
      </w:r>
      <w:r w:rsidRPr="00420473">
        <w:rPr>
          <w:vertAlign w:val="superscript"/>
        </w:rPr>
        <w:t>–3</w:t>
      </w:r>
    </w:p>
    <w:p w14:paraId="578FA786" w14:textId="6913AFF8" w:rsidR="0017386A" w:rsidRPr="00752B3A" w:rsidRDefault="00420473" w:rsidP="00420473">
      <w:pPr>
        <w:numPr>
          <w:ilvl w:val="0"/>
          <w:numId w:val="13"/>
        </w:numPr>
        <w:spacing w:after="120"/>
        <w:ind w:left="714" w:hanging="357"/>
      </w:pPr>
      <w:r w:rsidRPr="00420473">
        <w:t>Starch solution (freshly made)</w:t>
      </w:r>
    </w:p>
    <w:p w14:paraId="1442D170" w14:textId="6E9720D2" w:rsidR="00420473" w:rsidRDefault="00420473" w:rsidP="00420473">
      <w:pPr>
        <w:pStyle w:val="Heading2"/>
      </w:pPr>
      <w:r>
        <w:t>Observations</w:t>
      </w:r>
    </w:p>
    <w:p w14:paraId="36D30FE0" w14:textId="5A14DA51" w:rsidR="00420473" w:rsidRDefault="00420473" w:rsidP="00420473"/>
    <w:p w14:paraId="5A3D5A67" w14:textId="1841A7DC" w:rsidR="00425EA1" w:rsidRPr="00425EA1" w:rsidRDefault="00425EA1" w:rsidP="00425EA1">
      <w:pPr>
        <w:pStyle w:val="Heading3"/>
      </w:pPr>
      <w:r w:rsidRPr="00425EA1">
        <w:t>Part 1</w:t>
      </w:r>
    </w:p>
    <w:p w14:paraId="29D1611D" w14:textId="77777777" w:rsidR="00425EA1" w:rsidRPr="00425EA1" w:rsidRDefault="00425EA1" w:rsidP="00425EA1">
      <w:pPr>
        <w:rPr>
          <w:b/>
          <w:bCs/>
        </w:rPr>
      </w:pPr>
    </w:p>
    <w:p w14:paraId="7EC1FFC0" w14:textId="46854D8F" w:rsidR="00425EA1" w:rsidRDefault="00425EA1" w:rsidP="00425EA1">
      <w:r w:rsidRPr="00425EA1">
        <w:t xml:space="preserve">No changes are observed on adding chloride or bromide to the </w:t>
      </w:r>
      <w:proofErr w:type="gramStart"/>
      <w:r w:rsidRPr="00425EA1">
        <w:t>copper(</w:t>
      </w:r>
      <w:proofErr w:type="gramEnd"/>
      <w:r w:rsidRPr="00425EA1">
        <w:t>II) solution. However, the addition of iodide gives an immediate light brown precipitate of copper(I) iodide. The addition of starch solution gives the intense blue-black colour characteristic of the starch–iodine complex</w:t>
      </w:r>
      <w:r w:rsidR="001959BE">
        <w:t xml:space="preserve"> (see reference below)</w:t>
      </w:r>
      <w:r w:rsidRPr="00425EA1">
        <w:t xml:space="preserve">. Iodide reduces </w:t>
      </w:r>
      <w:proofErr w:type="gramStart"/>
      <w:r w:rsidRPr="00425EA1">
        <w:t>copper(</w:t>
      </w:r>
      <w:proofErr w:type="gramEnd"/>
      <w:r w:rsidRPr="00425EA1">
        <w:t>II):</w:t>
      </w:r>
    </w:p>
    <w:p w14:paraId="4569D753" w14:textId="77777777" w:rsidR="00425EA1" w:rsidRPr="00425EA1" w:rsidRDefault="00425EA1" w:rsidP="00425EA1"/>
    <w:p w14:paraId="737D5CE3" w14:textId="08766897" w:rsidR="00425EA1" w:rsidRDefault="00425EA1" w:rsidP="00425EA1">
      <w:r w:rsidRPr="00425EA1">
        <w:t>2Cu</w:t>
      </w:r>
      <w:r w:rsidRPr="00425EA1">
        <w:rPr>
          <w:vertAlign w:val="superscript"/>
        </w:rPr>
        <w:t>2+</w:t>
      </w:r>
      <w:r w:rsidRPr="00425EA1">
        <w:t>(</w:t>
      </w:r>
      <w:proofErr w:type="spellStart"/>
      <w:r w:rsidRPr="00425EA1">
        <w:t>aq</w:t>
      </w:r>
      <w:proofErr w:type="spellEnd"/>
      <w:r w:rsidRPr="00425EA1">
        <w:t>) + 4I</w:t>
      </w:r>
      <w:r w:rsidRPr="00425EA1">
        <w:rPr>
          <w:vertAlign w:val="superscript"/>
        </w:rPr>
        <w:t>–</w:t>
      </w:r>
      <w:r w:rsidRPr="00425EA1">
        <w:t>(</w:t>
      </w:r>
      <w:proofErr w:type="spellStart"/>
      <w:r w:rsidRPr="00425EA1">
        <w:t>aq</w:t>
      </w:r>
      <w:proofErr w:type="spellEnd"/>
      <w:r w:rsidRPr="00425EA1">
        <w:t>) → 2CuI(s) + I</w:t>
      </w:r>
      <w:r w:rsidRPr="00425EA1">
        <w:rPr>
          <w:vertAlign w:val="subscript"/>
        </w:rPr>
        <w:t>2</w:t>
      </w:r>
      <w:r w:rsidRPr="00425EA1">
        <w:t>(s)</w:t>
      </w:r>
    </w:p>
    <w:p w14:paraId="41972FBD" w14:textId="77777777" w:rsidR="00425EA1" w:rsidRPr="00425EA1" w:rsidRDefault="00425EA1" w:rsidP="00425EA1"/>
    <w:p w14:paraId="2B615F49" w14:textId="77777777" w:rsidR="00425EA1" w:rsidRPr="00425EA1" w:rsidRDefault="00425EA1" w:rsidP="00425EA1">
      <w:pPr>
        <w:pStyle w:val="Heading3"/>
      </w:pPr>
      <w:r w:rsidRPr="00425EA1">
        <w:t>Part 2</w:t>
      </w:r>
    </w:p>
    <w:p w14:paraId="430CAE4B" w14:textId="77777777" w:rsidR="00425EA1" w:rsidRDefault="00425EA1" w:rsidP="00425EA1"/>
    <w:p w14:paraId="51913FDF" w14:textId="588755C7" w:rsidR="00425EA1" w:rsidRDefault="00425EA1" w:rsidP="00425EA1">
      <w:r w:rsidRPr="00425EA1">
        <w:t xml:space="preserve">The addition of </w:t>
      </w:r>
      <w:proofErr w:type="gramStart"/>
      <w:r w:rsidRPr="00425EA1">
        <w:t>iron(</w:t>
      </w:r>
      <w:proofErr w:type="gramEnd"/>
      <w:r w:rsidRPr="00425EA1">
        <w:t>II) solution to silver nitrate produces silver metal by reduction. Glittering can be seen in the drop.</w:t>
      </w:r>
    </w:p>
    <w:p w14:paraId="5AF287A9" w14:textId="77777777" w:rsidR="00425EA1" w:rsidRPr="00425EA1" w:rsidRDefault="00425EA1" w:rsidP="00425EA1"/>
    <w:p w14:paraId="4C4C2B5F" w14:textId="254B4C77" w:rsidR="00425EA1" w:rsidRDefault="00425EA1" w:rsidP="00425EA1">
      <w:r w:rsidRPr="00425EA1">
        <w:t xml:space="preserve">The addition of a drop of thiocyanate produces a deep red colour indicative of </w:t>
      </w:r>
      <w:proofErr w:type="gramStart"/>
      <w:r w:rsidRPr="00425EA1">
        <w:t>iron(</w:t>
      </w:r>
      <w:proofErr w:type="gramEnd"/>
      <w:r w:rsidRPr="00425EA1">
        <w:t>III). A whitish precipitate of silver thiocyanate can also be seen.</w:t>
      </w:r>
    </w:p>
    <w:p w14:paraId="54C1448D" w14:textId="77777777" w:rsidR="00425EA1" w:rsidRPr="00425EA1" w:rsidRDefault="00425EA1" w:rsidP="00425EA1"/>
    <w:p w14:paraId="2128C1CB" w14:textId="156FAE77" w:rsidR="00425EA1" w:rsidRDefault="00425EA1" w:rsidP="00425EA1">
      <w:r w:rsidRPr="00425EA1">
        <w:t xml:space="preserve">The second part of this experiment is for students to do sequential reactions of thiocyanate with silver(I), </w:t>
      </w:r>
      <w:proofErr w:type="gramStart"/>
      <w:r w:rsidRPr="00425EA1">
        <w:t>iron(</w:t>
      </w:r>
      <w:proofErr w:type="gramEnd"/>
      <w:r w:rsidRPr="00425EA1">
        <w:t>II) and iron(III), helping them to interpret this redox reaction.</w:t>
      </w:r>
    </w:p>
    <w:p w14:paraId="7884CB84" w14:textId="77777777" w:rsidR="00425EA1" w:rsidRPr="00425EA1" w:rsidRDefault="00425EA1" w:rsidP="00425EA1"/>
    <w:p w14:paraId="339F39E6" w14:textId="19808150" w:rsidR="00425EA1" w:rsidRPr="00425EA1" w:rsidRDefault="00425EA1" w:rsidP="00425EA1">
      <w:pPr>
        <w:pStyle w:val="Heading3"/>
      </w:pPr>
      <w:r w:rsidRPr="00425EA1">
        <w:t>Note</w:t>
      </w:r>
    </w:p>
    <w:p w14:paraId="71EDA55D" w14:textId="77777777" w:rsidR="00425EA1" w:rsidRPr="00425EA1" w:rsidRDefault="00425EA1" w:rsidP="00425EA1">
      <w:pPr>
        <w:rPr>
          <w:b/>
          <w:bCs/>
        </w:rPr>
      </w:pPr>
    </w:p>
    <w:p w14:paraId="6D083C60" w14:textId="44EDCFAE" w:rsidR="00420473" w:rsidRDefault="00425EA1" w:rsidP="00420473">
      <w:r w:rsidRPr="00425EA1">
        <w:t xml:space="preserve">Unless very pure and freshly prepared, </w:t>
      </w:r>
      <w:proofErr w:type="gramStart"/>
      <w:r w:rsidRPr="00425EA1">
        <w:t>iron(</w:t>
      </w:r>
      <w:proofErr w:type="gramEnd"/>
      <w:r w:rsidRPr="00425EA1">
        <w:t xml:space="preserve">II) solutions will contain a small amount of iron(III) which gives a slight red coloration in the reaction between the iron(III) solution and the thiocyanate. However, the intensity of the colour is less than that observed in the reaction between </w:t>
      </w:r>
      <w:proofErr w:type="gramStart"/>
      <w:r w:rsidRPr="00425EA1">
        <w:t>iron(</w:t>
      </w:r>
      <w:proofErr w:type="gramEnd"/>
      <w:r w:rsidRPr="00425EA1">
        <w:t>III) solution and thiocyanate ions. This point could be explored further in subsequent discussions on the purity of chemicals.</w:t>
      </w:r>
    </w:p>
    <w:p w14:paraId="72451974" w14:textId="5FEE6FC6" w:rsidR="00425EA1" w:rsidRDefault="00425EA1" w:rsidP="00420473"/>
    <w:p w14:paraId="5942E9DA" w14:textId="17DA8EDB" w:rsidR="00425EA1" w:rsidRDefault="00425EA1" w:rsidP="00425EA1">
      <w:pPr>
        <w:pStyle w:val="Heading3"/>
      </w:pPr>
      <w:r>
        <w:t>Reference</w:t>
      </w:r>
    </w:p>
    <w:p w14:paraId="36A71929" w14:textId="437D1D2D" w:rsidR="00425EA1" w:rsidRDefault="00425EA1" w:rsidP="00425EA1"/>
    <w:p w14:paraId="31D514AD" w14:textId="4E7FC38F" w:rsidR="00425EA1" w:rsidRPr="00425EA1" w:rsidRDefault="00425EA1" w:rsidP="00425EA1">
      <w:r>
        <w:rPr>
          <w:i/>
          <w:iCs/>
        </w:rPr>
        <w:t>School Sci. Rev.</w:t>
      </w:r>
      <w:r>
        <w:t xml:space="preserve">, 1990, </w:t>
      </w:r>
      <w:r>
        <w:rPr>
          <w:b/>
          <w:bCs/>
        </w:rPr>
        <w:t>72</w:t>
      </w:r>
      <w:r>
        <w:t>, 104.</w:t>
      </w:r>
    </w:p>
    <w:p w14:paraId="643F3154" w14:textId="3D1F3360" w:rsidR="00C3381C" w:rsidRDefault="00C3381C" w:rsidP="00C3381C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172EFFA3" w14:textId="0111DD52" w:rsidR="00C3381C" w:rsidRDefault="00C3381C" w:rsidP="00C3381C"/>
    <w:p w14:paraId="0AA7A0AD" w14:textId="3C07DD58" w:rsidR="00EE56AE" w:rsidRPr="00EE56AE" w:rsidRDefault="00EE56AE" w:rsidP="00EE56AE">
      <w:pPr>
        <w:numPr>
          <w:ilvl w:val="0"/>
          <w:numId w:val="14"/>
        </w:numPr>
        <w:spacing w:after="120"/>
        <w:ind w:hanging="357"/>
      </w:pPr>
      <w:r w:rsidRPr="00EE56AE">
        <w:t>Read our standard health and safety guidance</w:t>
      </w:r>
      <w:r w:rsidR="0007022D">
        <w:t xml:space="preserve"> (</w:t>
      </w:r>
      <w:hyperlink r:id="rId12" w:history="1">
        <w:r w:rsidR="0007022D" w:rsidRPr="00330248">
          <w:rPr>
            <w:rStyle w:val="Hyperlink"/>
          </w:rPr>
          <w:t>https://rsc.li/3ykbTq3</w:t>
        </w:r>
      </w:hyperlink>
      <w:r w:rsidR="0007022D">
        <w:t>).</w:t>
      </w:r>
    </w:p>
    <w:p w14:paraId="5BCBB575" w14:textId="77777777" w:rsidR="00EE56AE" w:rsidRPr="00EE56AE" w:rsidRDefault="00EE56AE" w:rsidP="00EE56AE">
      <w:pPr>
        <w:numPr>
          <w:ilvl w:val="0"/>
          <w:numId w:val="14"/>
        </w:numPr>
        <w:spacing w:after="120"/>
        <w:ind w:hanging="357"/>
      </w:pPr>
      <w:r w:rsidRPr="00EE56AE">
        <w:t>Wear eye protection throughout (splash-resistant goggles to BS EN166 3).</w:t>
      </w:r>
    </w:p>
    <w:p w14:paraId="30FD3494" w14:textId="77777777" w:rsidR="00EE56AE" w:rsidRPr="00EE56AE" w:rsidRDefault="00EE56AE" w:rsidP="00EE56AE">
      <w:pPr>
        <w:numPr>
          <w:ilvl w:val="0"/>
          <w:numId w:val="14"/>
        </w:numPr>
        <w:spacing w:after="120"/>
        <w:ind w:hanging="357"/>
      </w:pPr>
      <w:r w:rsidRPr="00EE56AE">
        <w:t>Silver nitrate, AgNO</w:t>
      </w:r>
      <w:r w:rsidRPr="00EE56AE">
        <w:rPr>
          <w:vertAlign w:val="subscript"/>
        </w:rPr>
        <w:t>3</w:t>
      </w:r>
      <w:r w:rsidRPr="00EE56AE">
        <w:t>(</w:t>
      </w:r>
      <w:proofErr w:type="spellStart"/>
      <w:r w:rsidRPr="00EE56AE">
        <w:t>aq</w:t>
      </w:r>
      <w:proofErr w:type="spellEnd"/>
      <w:r w:rsidRPr="00EE56AE">
        <w:t>), 0.1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> HC087 and CLEAPSS Recipe Book RB077. Silver nitrate is an eye IRRITANT. Keep separate from organic waste containers.</w:t>
      </w:r>
    </w:p>
    <w:p w14:paraId="7CD6DAE4" w14:textId="77777777" w:rsidR="00EE56AE" w:rsidRPr="00EE56AE" w:rsidRDefault="00EE56AE" w:rsidP="00EE56AE">
      <w:pPr>
        <w:numPr>
          <w:ilvl w:val="0"/>
          <w:numId w:val="14"/>
        </w:numPr>
        <w:spacing w:after="120"/>
        <w:ind w:hanging="357"/>
      </w:pPr>
      <w:proofErr w:type="gramStart"/>
      <w:r w:rsidRPr="00EE56AE">
        <w:t>Copper(</w:t>
      </w:r>
      <w:proofErr w:type="gramEnd"/>
      <w:r w:rsidRPr="00EE56AE">
        <w:t>II) sulfate solution, CuSO</w:t>
      </w:r>
      <w:r w:rsidRPr="00EE56AE">
        <w:rPr>
          <w:vertAlign w:val="subscript"/>
        </w:rPr>
        <w:t>4</w:t>
      </w:r>
      <w:r w:rsidRPr="00EE56AE">
        <w:t>(</w:t>
      </w:r>
      <w:proofErr w:type="spellStart"/>
      <w:r w:rsidRPr="00EE56AE">
        <w:t>aq</w:t>
      </w:r>
      <w:proofErr w:type="spellEnd"/>
      <w:r w:rsidRPr="00EE56AE">
        <w:t>), 0.2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 xml:space="preserve"> HC027c and CLEAPSS Recipe Book RB031. </w:t>
      </w:r>
      <w:proofErr w:type="gramStart"/>
      <w:r w:rsidRPr="00EE56AE">
        <w:t>Copper(</w:t>
      </w:r>
      <w:proofErr w:type="gramEnd"/>
      <w:r w:rsidRPr="00EE56AE">
        <w:t>II) sulfate causes eye damage and is HAZARDOUS to the aquatic environment.</w:t>
      </w:r>
    </w:p>
    <w:p w14:paraId="599867D2" w14:textId="77777777" w:rsidR="00EE56AE" w:rsidRPr="00EE56AE" w:rsidRDefault="00EE56AE" w:rsidP="00EE56AE">
      <w:pPr>
        <w:numPr>
          <w:ilvl w:val="0"/>
          <w:numId w:val="14"/>
        </w:numPr>
        <w:spacing w:after="120"/>
        <w:ind w:hanging="357"/>
      </w:pPr>
      <w:r w:rsidRPr="00EE56AE">
        <w:t>The following chemicals are low hazard:</w:t>
      </w:r>
    </w:p>
    <w:p w14:paraId="46D3BB08" w14:textId="77777777" w:rsidR="00EE56AE" w:rsidRPr="00EE56AE" w:rsidRDefault="00EE56AE" w:rsidP="00EE56AE">
      <w:pPr>
        <w:numPr>
          <w:ilvl w:val="1"/>
          <w:numId w:val="14"/>
        </w:numPr>
        <w:spacing w:after="120"/>
        <w:ind w:hanging="357"/>
      </w:pPr>
      <w:r w:rsidRPr="00EE56AE">
        <w:t>Potassium bromide, KBr (</w:t>
      </w:r>
      <w:proofErr w:type="spellStart"/>
      <w:r w:rsidRPr="00EE56AE">
        <w:t>aq</w:t>
      </w:r>
      <w:proofErr w:type="spellEnd"/>
      <w:r w:rsidRPr="00EE56AE">
        <w:t>), 0.2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> HC047b and CLEAPSS Recipe Book RB068.</w:t>
      </w:r>
    </w:p>
    <w:p w14:paraId="43BAF048" w14:textId="77777777" w:rsidR="00EE56AE" w:rsidRPr="00EE56AE" w:rsidRDefault="00EE56AE" w:rsidP="00EE56AE">
      <w:pPr>
        <w:numPr>
          <w:ilvl w:val="1"/>
          <w:numId w:val="14"/>
        </w:numPr>
        <w:spacing w:after="120"/>
        <w:ind w:hanging="357"/>
      </w:pPr>
      <w:proofErr w:type="gramStart"/>
      <w:r w:rsidRPr="00EE56AE">
        <w:t>Iron(</w:t>
      </w:r>
      <w:proofErr w:type="gramEnd"/>
      <w:r w:rsidRPr="00EE56AE">
        <w:t>II) sulfate, FeSO</w:t>
      </w:r>
      <w:r w:rsidRPr="00EE56AE">
        <w:rPr>
          <w:vertAlign w:val="subscript"/>
        </w:rPr>
        <w:t>4</w:t>
      </w:r>
      <w:r w:rsidRPr="00EE56AE">
        <w:t>.7H</w:t>
      </w:r>
      <w:r w:rsidRPr="00EE56AE">
        <w:rPr>
          <w:vertAlign w:val="subscript"/>
        </w:rPr>
        <w:t>2</w:t>
      </w:r>
      <w:r w:rsidRPr="00EE56AE">
        <w:t>O (</w:t>
      </w:r>
      <w:proofErr w:type="spellStart"/>
      <w:r w:rsidRPr="00EE56AE">
        <w:t>aq</w:t>
      </w:r>
      <w:proofErr w:type="spellEnd"/>
      <w:r w:rsidRPr="00EE56AE">
        <w:t>), 0.2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> HC055B and CLEAPSS Recipe Book RB051.</w:t>
      </w:r>
    </w:p>
    <w:p w14:paraId="75A0D3D8" w14:textId="77777777" w:rsidR="00EE56AE" w:rsidRPr="00EE56AE" w:rsidRDefault="00EE56AE" w:rsidP="00EE56AE">
      <w:pPr>
        <w:numPr>
          <w:ilvl w:val="1"/>
          <w:numId w:val="14"/>
        </w:numPr>
        <w:spacing w:after="120"/>
        <w:ind w:hanging="357"/>
      </w:pPr>
      <w:proofErr w:type="gramStart"/>
      <w:r w:rsidRPr="00EE56AE">
        <w:t>Iron(</w:t>
      </w:r>
      <w:proofErr w:type="gramEnd"/>
      <w:r w:rsidRPr="00EE56AE">
        <w:t>III) nitrate, Fe(NO</w:t>
      </w:r>
      <w:r w:rsidRPr="00EE56AE">
        <w:rPr>
          <w:vertAlign w:val="subscript"/>
        </w:rPr>
        <w:t>3</w:t>
      </w:r>
      <w:r w:rsidRPr="00EE56AE">
        <w:t>)</w:t>
      </w:r>
      <w:r w:rsidRPr="00EE56AE">
        <w:rPr>
          <w:vertAlign w:val="subscript"/>
        </w:rPr>
        <w:t>3</w:t>
      </w:r>
      <w:r w:rsidRPr="00EE56AE">
        <w:t>.9H</w:t>
      </w:r>
      <w:r w:rsidRPr="00EE56AE">
        <w:rPr>
          <w:vertAlign w:val="subscript"/>
        </w:rPr>
        <w:t>2</w:t>
      </w:r>
      <w:r w:rsidRPr="00EE56AE">
        <w:t>O (</w:t>
      </w:r>
      <w:proofErr w:type="spellStart"/>
      <w:r w:rsidRPr="00EE56AE">
        <w:t>aq</w:t>
      </w:r>
      <w:proofErr w:type="spellEnd"/>
      <w:r w:rsidRPr="00EE56AE">
        <w:t>), 0.2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> HC055C and CLEAPSS Recipe Book RB052.</w:t>
      </w:r>
    </w:p>
    <w:p w14:paraId="35EBEF91" w14:textId="77777777" w:rsidR="00EE56AE" w:rsidRPr="00EE56AE" w:rsidRDefault="00EE56AE" w:rsidP="00EE56AE">
      <w:pPr>
        <w:numPr>
          <w:ilvl w:val="1"/>
          <w:numId w:val="14"/>
        </w:numPr>
        <w:spacing w:after="120"/>
        <w:ind w:hanging="357"/>
      </w:pPr>
      <w:r w:rsidRPr="00EE56AE">
        <w:t>Potassium thiocyanate, KBr (</w:t>
      </w:r>
      <w:proofErr w:type="spellStart"/>
      <w:r w:rsidRPr="00EE56AE">
        <w:t>aq</w:t>
      </w:r>
      <w:proofErr w:type="spellEnd"/>
      <w:r w:rsidRPr="00EE56AE">
        <w:t>), 0.1 mol dm</w:t>
      </w:r>
      <w:r w:rsidRPr="00EE56AE">
        <w:rPr>
          <w:vertAlign w:val="superscript"/>
        </w:rPr>
        <w:t>–3</w:t>
      </w:r>
      <w:r w:rsidRPr="00EE56AE">
        <w:t xml:space="preserve"> – see CLEAPSS </w:t>
      </w:r>
      <w:proofErr w:type="spellStart"/>
      <w:r w:rsidRPr="00EE56AE">
        <w:t>Hazcard</w:t>
      </w:r>
      <w:proofErr w:type="spellEnd"/>
      <w:r w:rsidRPr="00EE56AE">
        <w:t> HC095A and CLEAPSS Recipe Book RB122.</w:t>
      </w:r>
    </w:p>
    <w:p w14:paraId="37526F4F" w14:textId="77777777" w:rsidR="00EE56AE" w:rsidRPr="00EE56AE" w:rsidRDefault="00EE56AE" w:rsidP="00EE56AE">
      <w:pPr>
        <w:numPr>
          <w:ilvl w:val="1"/>
          <w:numId w:val="14"/>
        </w:numPr>
      </w:pPr>
      <w:r w:rsidRPr="00EE56AE">
        <w:t xml:space="preserve">Potassium iodide, </w:t>
      </w:r>
      <w:proofErr w:type="gramStart"/>
      <w:r w:rsidRPr="00EE56AE">
        <w:t>KI(</w:t>
      </w:r>
      <w:proofErr w:type="spellStart"/>
      <w:proofErr w:type="gramEnd"/>
      <w:r w:rsidRPr="00EE56AE">
        <w:t>aq</w:t>
      </w:r>
      <w:proofErr w:type="spellEnd"/>
      <w:r w:rsidRPr="00EE56AE">
        <w:t>), 0.2 mol dm</w:t>
      </w:r>
      <w:r w:rsidRPr="00EE56AE">
        <w:rPr>
          <w:vertAlign w:val="superscript"/>
        </w:rPr>
        <w:t>–3</w:t>
      </w:r>
      <w:r w:rsidRPr="00EE56AE">
        <w:t xml:space="preserve">  see CLEAPSS </w:t>
      </w:r>
      <w:proofErr w:type="spellStart"/>
      <w:r w:rsidRPr="00EE56AE">
        <w:t>Hazcard</w:t>
      </w:r>
      <w:proofErr w:type="spellEnd"/>
      <w:r w:rsidRPr="00EE56AE">
        <w:t> HC047b and CLEAPSS Recipe Book RB072.</w:t>
      </w:r>
    </w:p>
    <w:p w14:paraId="256442BF" w14:textId="77777777" w:rsidR="00C3381C" w:rsidRPr="00C3381C" w:rsidRDefault="00C3381C" w:rsidP="00C3381C"/>
    <w:sectPr w:rsidR="00C3381C" w:rsidRPr="00C3381C" w:rsidSect="00552DB9">
      <w:footerReference w:type="defaul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320216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6" name="Picture 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B31D88" w:rsidRPr="00FF15E0">
        <w:rPr>
          <w:rStyle w:val="Hyperlink"/>
          <w:sz w:val="16"/>
          <w:szCs w:val="16"/>
        </w:rPr>
        <w:t>https://rsc.li/2QN1pON</w:t>
      </w:r>
    </w:hyperlink>
    <w:r w:rsidR="00B31D8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EDD"/>
    <w:multiLevelType w:val="hybridMultilevel"/>
    <w:tmpl w:val="5532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F16C4"/>
    <w:multiLevelType w:val="multilevel"/>
    <w:tmpl w:val="2D12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769B"/>
    <w:multiLevelType w:val="multilevel"/>
    <w:tmpl w:val="CE28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E1EA4"/>
    <w:multiLevelType w:val="multilevel"/>
    <w:tmpl w:val="7FC0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F42E8"/>
    <w:multiLevelType w:val="multilevel"/>
    <w:tmpl w:val="F61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8693D"/>
    <w:multiLevelType w:val="multilevel"/>
    <w:tmpl w:val="3948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115E9"/>
    <w:multiLevelType w:val="multilevel"/>
    <w:tmpl w:val="A20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7022D"/>
    <w:rsid w:val="0010594E"/>
    <w:rsid w:val="00107A74"/>
    <w:rsid w:val="00121D41"/>
    <w:rsid w:val="0015353F"/>
    <w:rsid w:val="001546EA"/>
    <w:rsid w:val="001554E7"/>
    <w:rsid w:val="001637E5"/>
    <w:rsid w:val="0017099F"/>
    <w:rsid w:val="001726FD"/>
    <w:rsid w:val="0017386A"/>
    <w:rsid w:val="001959BE"/>
    <w:rsid w:val="00196E56"/>
    <w:rsid w:val="002479DD"/>
    <w:rsid w:val="002E173F"/>
    <w:rsid w:val="00315C09"/>
    <w:rsid w:val="00357DE0"/>
    <w:rsid w:val="00384C00"/>
    <w:rsid w:val="003863C8"/>
    <w:rsid w:val="003F3444"/>
    <w:rsid w:val="00402AB6"/>
    <w:rsid w:val="00412A04"/>
    <w:rsid w:val="00420473"/>
    <w:rsid w:val="00425EA1"/>
    <w:rsid w:val="00452BAE"/>
    <w:rsid w:val="004F37DE"/>
    <w:rsid w:val="00530E52"/>
    <w:rsid w:val="0053694E"/>
    <w:rsid w:val="00552DB9"/>
    <w:rsid w:val="005E2D53"/>
    <w:rsid w:val="005E4E58"/>
    <w:rsid w:val="005F10C0"/>
    <w:rsid w:val="00623869"/>
    <w:rsid w:val="006462C5"/>
    <w:rsid w:val="00683FBC"/>
    <w:rsid w:val="00695E32"/>
    <w:rsid w:val="006A7649"/>
    <w:rsid w:val="006B2D5F"/>
    <w:rsid w:val="006E6495"/>
    <w:rsid w:val="006F11C7"/>
    <w:rsid w:val="006F1D7B"/>
    <w:rsid w:val="0071287B"/>
    <w:rsid w:val="00752B3A"/>
    <w:rsid w:val="007648CD"/>
    <w:rsid w:val="00795D31"/>
    <w:rsid w:val="00796BBE"/>
    <w:rsid w:val="007B29DA"/>
    <w:rsid w:val="007C5B2B"/>
    <w:rsid w:val="00801C93"/>
    <w:rsid w:val="00883634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611C5"/>
    <w:rsid w:val="00AD3FFE"/>
    <w:rsid w:val="00B2046D"/>
    <w:rsid w:val="00B247F6"/>
    <w:rsid w:val="00B31D88"/>
    <w:rsid w:val="00B76B6A"/>
    <w:rsid w:val="00B802D2"/>
    <w:rsid w:val="00B87E51"/>
    <w:rsid w:val="00BC5C4C"/>
    <w:rsid w:val="00BC7C98"/>
    <w:rsid w:val="00C0182D"/>
    <w:rsid w:val="00C11EC1"/>
    <w:rsid w:val="00C3381C"/>
    <w:rsid w:val="00C611F9"/>
    <w:rsid w:val="00CA0D18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C6924"/>
    <w:rsid w:val="00ED3D05"/>
    <w:rsid w:val="00EE1EE1"/>
    <w:rsid w:val="00EE4ECC"/>
    <w:rsid w:val="00EE56AE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ykbTq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udpzA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QN1pO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735c6f9d-ea00-4d07-8164-4ddae4f5c3ce"/>
    <ds:schemaRef ds:uri="472a3ddc-6003-415e-a262-c0a931a5a8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redox reactions - student sheet</vt:lpstr>
    </vt:vector>
  </TitlesOfParts>
  <Company>Royal Society Of Chemistry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redox reactions - teacher notes</dc:title>
  <dc:subject>Use these teacher notes with the accompanying student handout to investigate two redox reactions using microscale apparatus.</dc:subject>
  <dc:creator>Royal Society of Chemistry</dc:creator>
  <cp:keywords/>
  <dc:description/>
  <cp:lastModifiedBy>Chris Runciman</cp:lastModifiedBy>
  <cp:revision>12</cp:revision>
  <dcterms:created xsi:type="dcterms:W3CDTF">2021-05-04T09:15:00Z</dcterms:created>
  <dcterms:modified xsi:type="dcterms:W3CDTF">2021-05-17T16:19:00Z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