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E1A37" w14:textId="3CC6DFDA" w:rsidR="009C6C7F" w:rsidRDefault="0050198A" w:rsidP="006E6495">
      <w:pPr>
        <w:pStyle w:val="Heading1"/>
      </w:pPr>
      <w:r>
        <w:t>Mass changes in chemical reactions – teacher notes</w:t>
      </w:r>
    </w:p>
    <w:p w14:paraId="6BD8EAEC" w14:textId="3C389F31" w:rsidR="00EE7B55" w:rsidRDefault="00EE7B55" w:rsidP="006E6495"/>
    <w:p w14:paraId="633FE19B" w14:textId="322DFAE4" w:rsidR="00695E32" w:rsidRPr="00EE7B55" w:rsidRDefault="002B32A0" w:rsidP="006E6495">
      <w:r w:rsidRPr="002B32A0">
        <w:t>In this experiment, students measure the mass of various reactant solutions before and after reaction to see whether there has been any change in mass.</w:t>
      </w:r>
    </w:p>
    <w:p w14:paraId="2307BAC3" w14:textId="2591B1E6" w:rsidR="00412A04" w:rsidRDefault="008F4566" w:rsidP="00695E32">
      <w:pPr>
        <w:pStyle w:val="Heading2"/>
      </w:pPr>
      <w:r>
        <w:t>Topic</w:t>
      </w:r>
    </w:p>
    <w:p w14:paraId="19BE1D4D" w14:textId="15951D32" w:rsidR="00695E32" w:rsidRDefault="00695E32" w:rsidP="00695E32"/>
    <w:p w14:paraId="208BB155" w14:textId="30A2AA9D" w:rsidR="00623869" w:rsidRDefault="008F4566" w:rsidP="0019786D">
      <w:r>
        <w:t>The nature of chemical reactions, scientific investigation</w:t>
      </w:r>
    </w:p>
    <w:p w14:paraId="46A9F8B5" w14:textId="75DA16DE" w:rsidR="008F4566" w:rsidRDefault="008F4566" w:rsidP="008F4566">
      <w:pPr>
        <w:pStyle w:val="Heading2"/>
      </w:pPr>
      <w:r>
        <w:t>Timing</w:t>
      </w:r>
    </w:p>
    <w:p w14:paraId="4AAC3104" w14:textId="4AE155B9" w:rsidR="008F4566" w:rsidRDefault="008F4566" w:rsidP="008F4566"/>
    <w:p w14:paraId="3B64C100" w14:textId="2B13AA3B" w:rsidR="008F4566" w:rsidRDefault="008F4566" w:rsidP="008F4566">
      <w:r>
        <w:t>10 minutes</w:t>
      </w:r>
    </w:p>
    <w:p w14:paraId="59B4F2A4" w14:textId="4523555F" w:rsidR="008F4566" w:rsidRDefault="008F4566" w:rsidP="008F4566">
      <w:pPr>
        <w:pStyle w:val="Heading2"/>
      </w:pPr>
      <w:r>
        <w:t>Equipment</w:t>
      </w:r>
    </w:p>
    <w:p w14:paraId="778EEBF5" w14:textId="40FF1D06" w:rsidR="008F4566" w:rsidRDefault="008F4566" w:rsidP="008F4566"/>
    <w:p w14:paraId="1609554F" w14:textId="0CAEAED3" w:rsidR="008F4566" w:rsidRDefault="008F4566" w:rsidP="008F4566">
      <w:pPr>
        <w:pStyle w:val="Heading3"/>
      </w:pPr>
      <w:r>
        <w:t>Apparatus</w:t>
      </w:r>
    </w:p>
    <w:p w14:paraId="24757972" w14:textId="49C0C502" w:rsidR="008F4566" w:rsidRDefault="008F4566" w:rsidP="008F4566"/>
    <w:p w14:paraId="1F04BBBB" w14:textId="05B39E68" w:rsidR="0071354C" w:rsidRDefault="0071354C" w:rsidP="004B7F5F">
      <w:pPr>
        <w:numPr>
          <w:ilvl w:val="0"/>
          <w:numId w:val="8"/>
        </w:numPr>
        <w:spacing w:after="120"/>
        <w:ind w:left="714" w:hanging="357"/>
      </w:pPr>
      <w:r>
        <w:t>Eye protection</w:t>
      </w:r>
    </w:p>
    <w:p w14:paraId="3525F0DF" w14:textId="4170CA11" w:rsidR="004B7F5F" w:rsidRPr="004B7F5F" w:rsidRDefault="004B7F5F" w:rsidP="004B7F5F">
      <w:pPr>
        <w:numPr>
          <w:ilvl w:val="0"/>
          <w:numId w:val="8"/>
        </w:numPr>
        <w:spacing w:after="120"/>
        <w:ind w:left="714" w:hanging="357"/>
      </w:pPr>
      <w:r w:rsidRPr="004B7F5F">
        <w:t>Student worksheet</w:t>
      </w:r>
    </w:p>
    <w:p w14:paraId="0B966DA9" w14:textId="77777777" w:rsidR="004B7F5F" w:rsidRPr="004B7F5F" w:rsidRDefault="004B7F5F" w:rsidP="004B7F5F">
      <w:pPr>
        <w:numPr>
          <w:ilvl w:val="0"/>
          <w:numId w:val="8"/>
        </w:numPr>
        <w:spacing w:after="120"/>
        <w:ind w:left="714" w:hanging="357"/>
      </w:pPr>
      <w:r w:rsidRPr="004B7F5F">
        <w:t>Part of a well-plate (see note 3 below)</w:t>
      </w:r>
    </w:p>
    <w:p w14:paraId="24F9AD49" w14:textId="77777777" w:rsidR="004B7F5F" w:rsidRPr="004B7F5F" w:rsidRDefault="004B7F5F" w:rsidP="004B7F5F">
      <w:pPr>
        <w:numPr>
          <w:ilvl w:val="0"/>
          <w:numId w:val="8"/>
        </w:numPr>
      </w:pPr>
      <w:r w:rsidRPr="004B7F5F">
        <w:t>Access to a balance that reads to 0.01 g</w:t>
      </w:r>
    </w:p>
    <w:p w14:paraId="0352B938" w14:textId="15AABFD8" w:rsidR="008F4566" w:rsidRDefault="008F4566" w:rsidP="008F4566"/>
    <w:p w14:paraId="528E8DAC" w14:textId="5E1D3494" w:rsidR="004B7F5F" w:rsidRDefault="004B7F5F" w:rsidP="004B7F5F">
      <w:pPr>
        <w:pStyle w:val="Heading3"/>
      </w:pPr>
      <w:r>
        <w:t>Chemicals</w:t>
      </w:r>
    </w:p>
    <w:p w14:paraId="2176FCB1" w14:textId="6CC8CD7E" w:rsidR="004B7F5F" w:rsidRDefault="004B7F5F" w:rsidP="004B7F5F"/>
    <w:p w14:paraId="6E8047A4" w14:textId="66FE362A" w:rsidR="004B7F5F" w:rsidRDefault="004B7F5F" w:rsidP="004B7F5F">
      <w:r w:rsidRPr="004B7F5F">
        <w:t>Solutions should be contained in plastic pipettes</w:t>
      </w:r>
      <w:r w:rsidR="0071354C">
        <w:t>.</w:t>
      </w:r>
      <w:r w:rsidRPr="004B7F5F">
        <w:t xml:space="preserve"> </w:t>
      </w:r>
      <w:r w:rsidR="0071354C">
        <w:t>S</w:t>
      </w:r>
      <w:r w:rsidRPr="004B7F5F">
        <w:t>ee the accompanying guidance on apparatus and techniques for microscale chemistry (</w:t>
      </w:r>
      <w:hyperlink r:id="rId11" w:history="1">
        <w:r w:rsidR="00D02E80" w:rsidRPr="0031069B">
          <w:rPr>
            <w:rStyle w:val="Hyperlink"/>
          </w:rPr>
          <w:t>https://rsc.li/3tpLao1</w:t>
        </w:r>
      </w:hyperlink>
      <w:r w:rsidRPr="004B7F5F">
        <w:t>).</w:t>
      </w:r>
    </w:p>
    <w:p w14:paraId="48BE0278" w14:textId="3C71908F" w:rsidR="00D02E80" w:rsidRDefault="00D02E80" w:rsidP="004B7F5F"/>
    <w:p w14:paraId="19C2336C" w14:textId="77777777" w:rsidR="00D02E80" w:rsidRPr="00D02E80" w:rsidRDefault="00D02E80" w:rsidP="00D02E80">
      <w:pPr>
        <w:numPr>
          <w:ilvl w:val="0"/>
          <w:numId w:val="9"/>
        </w:numPr>
        <w:spacing w:after="120"/>
        <w:ind w:left="714" w:hanging="357"/>
      </w:pPr>
      <w:r w:rsidRPr="00D02E80">
        <w:t>Sodium carbonate, 0.5 mol dm</w:t>
      </w:r>
      <w:r w:rsidRPr="00D02E80">
        <w:rPr>
          <w:vertAlign w:val="superscript"/>
        </w:rPr>
        <w:t>–3</w:t>
      </w:r>
    </w:p>
    <w:p w14:paraId="4A3B783F" w14:textId="77777777" w:rsidR="00D02E80" w:rsidRPr="00D02E80" w:rsidRDefault="00D02E80" w:rsidP="00D02E80">
      <w:pPr>
        <w:numPr>
          <w:ilvl w:val="0"/>
          <w:numId w:val="9"/>
        </w:numPr>
        <w:spacing w:after="120"/>
        <w:ind w:left="714" w:hanging="357"/>
      </w:pPr>
      <w:r w:rsidRPr="00D02E80">
        <w:t>Calcium nitrate, 0.5 mol dm</w:t>
      </w:r>
      <w:r w:rsidRPr="00D02E80">
        <w:rPr>
          <w:vertAlign w:val="superscript"/>
        </w:rPr>
        <w:t>–3</w:t>
      </w:r>
    </w:p>
    <w:p w14:paraId="6680E3B3" w14:textId="77777777" w:rsidR="00D02E80" w:rsidRPr="00D02E80" w:rsidRDefault="00D02E80" w:rsidP="00D02E80">
      <w:pPr>
        <w:numPr>
          <w:ilvl w:val="0"/>
          <w:numId w:val="9"/>
        </w:numPr>
        <w:spacing w:after="120"/>
        <w:ind w:left="714" w:hanging="357"/>
      </w:pPr>
      <w:r w:rsidRPr="00D02E80">
        <w:t>Hydrochloric acid, 1 mol dm</w:t>
      </w:r>
      <w:r w:rsidRPr="00D02E80">
        <w:rPr>
          <w:vertAlign w:val="superscript"/>
        </w:rPr>
        <w:t>–3</w:t>
      </w:r>
    </w:p>
    <w:p w14:paraId="79AC298F" w14:textId="77777777" w:rsidR="00D02E80" w:rsidRPr="00D02E80" w:rsidRDefault="00D02E80" w:rsidP="00D02E80">
      <w:pPr>
        <w:numPr>
          <w:ilvl w:val="0"/>
          <w:numId w:val="9"/>
        </w:numPr>
        <w:spacing w:after="120"/>
        <w:ind w:left="714" w:hanging="357"/>
      </w:pPr>
      <w:r w:rsidRPr="00D02E80">
        <w:t>Magnesium ribbon</w:t>
      </w:r>
    </w:p>
    <w:p w14:paraId="6BC3850E" w14:textId="05020037" w:rsidR="00D02E80" w:rsidRDefault="00D02E80" w:rsidP="004B7F5F">
      <w:pPr>
        <w:numPr>
          <w:ilvl w:val="0"/>
          <w:numId w:val="9"/>
        </w:numPr>
      </w:pPr>
      <w:r w:rsidRPr="00D02E80">
        <w:t>Marble chips (small)</w:t>
      </w:r>
    </w:p>
    <w:p w14:paraId="452FA99C" w14:textId="6B186307" w:rsidR="00B41432" w:rsidRDefault="00B41432" w:rsidP="00B41432">
      <w:pPr>
        <w:pStyle w:val="Heading2"/>
      </w:pPr>
      <w:r>
        <w:t xml:space="preserve">Health, </w:t>
      </w:r>
      <w:proofErr w:type="gramStart"/>
      <w:r>
        <w:t>safety</w:t>
      </w:r>
      <w:proofErr w:type="gramEnd"/>
      <w:r>
        <w:t xml:space="preserve"> and technical notes</w:t>
      </w:r>
    </w:p>
    <w:p w14:paraId="219BF510" w14:textId="7715217A" w:rsidR="009B1449" w:rsidRDefault="009B1449" w:rsidP="009B1449"/>
    <w:p w14:paraId="0A93F691" w14:textId="08292780" w:rsidR="009B1449" w:rsidRPr="009B1449" w:rsidRDefault="009B1449" w:rsidP="001C3E42">
      <w:pPr>
        <w:numPr>
          <w:ilvl w:val="0"/>
          <w:numId w:val="10"/>
        </w:numPr>
        <w:spacing w:after="120"/>
        <w:ind w:left="714" w:hanging="357"/>
      </w:pPr>
      <w:r w:rsidRPr="009B1449">
        <w:t>Read our standard health and safety guidance</w:t>
      </w:r>
      <w:r>
        <w:t xml:space="preserve"> (</w:t>
      </w:r>
      <w:hyperlink r:id="rId12" w:history="1">
        <w:r w:rsidR="001C3E42" w:rsidRPr="0031069B">
          <w:rPr>
            <w:rStyle w:val="Hyperlink"/>
          </w:rPr>
          <w:t>https://rsc.li/3aZZM7d</w:t>
        </w:r>
      </w:hyperlink>
      <w:r w:rsidR="001C3E42">
        <w:t>).</w:t>
      </w:r>
    </w:p>
    <w:p w14:paraId="6966BFA3" w14:textId="77777777" w:rsidR="009B1449" w:rsidRPr="009B1449" w:rsidRDefault="009B1449" w:rsidP="001C3E42">
      <w:pPr>
        <w:numPr>
          <w:ilvl w:val="0"/>
          <w:numId w:val="10"/>
        </w:numPr>
        <w:spacing w:after="120"/>
        <w:ind w:left="714" w:hanging="357"/>
      </w:pPr>
      <w:r w:rsidRPr="009B1449">
        <w:t>Wear eye protection throughout.</w:t>
      </w:r>
    </w:p>
    <w:p w14:paraId="22ACC0A7" w14:textId="77777777" w:rsidR="003A0D37" w:rsidRDefault="009B1449" w:rsidP="003A0D37">
      <w:pPr>
        <w:numPr>
          <w:ilvl w:val="0"/>
          <w:numId w:val="10"/>
        </w:numPr>
        <w:spacing w:after="120"/>
        <w:ind w:left="714" w:hanging="357"/>
      </w:pPr>
      <w:r w:rsidRPr="009B1449">
        <w:t>Cut a three-well plate from the standard 24-well plate using a hacksaw. A class set can be cut from a single well-plate.</w:t>
      </w:r>
    </w:p>
    <w:p w14:paraId="21593D5B" w14:textId="77777777" w:rsidR="003A0D37" w:rsidRDefault="003A0D37" w:rsidP="003A0D37">
      <w:pPr>
        <w:numPr>
          <w:ilvl w:val="0"/>
          <w:numId w:val="10"/>
        </w:numPr>
        <w:spacing w:after="120"/>
        <w:ind w:left="714" w:hanging="357"/>
      </w:pPr>
      <w:r w:rsidRPr="003A0D37">
        <w:t>Sodium carbonate, Na</w:t>
      </w:r>
      <w:r w:rsidRPr="003A0D37">
        <w:rPr>
          <w:vertAlign w:val="subscript"/>
        </w:rPr>
        <w:t>2</w:t>
      </w:r>
      <w:r w:rsidRPr="003A0D37">
        <w:t>CO</w:t>
      </w:r>
      <w:r w:rsidRPr="003A0D37">
        <w:rPr>
          <w:vertAlign w:val="subscript"/>
        </w:rPr>
        <w:t>3</w:t>
      </w:r>
      <w:r w:rsidRPr="003A0D37">
        <w:t>.10H</w:t>
      </w:r>
      <w:r w:rsidRPr="003A0D37">
        <w:rPr>
          <w:vertAlign w:val="subscript"/>
        </w:rPr>
        <w:t>2</w:t>
      </w:r>
      <w:r w:rsidRPr="003A0D37">
        <w:t>O, 0.5 mol dm</w:t>
      </w:r>
      <w:r w:rsidRPr="003A0D37">
        <w:rPr>
          <w:vertAlign w:val="superscript"/>
        </w:rPr>
        <w:t>–3</w:t>
      </w:r>
      <w:r w:rsidRPr="003A0D37">
        <w:t xml:space="preserve"> is of low hazard at this concentration. See CLEAPSS </w:t>
      </w:r>
      <w:proofErr w:type="spellStart"/>
      <w:r w:rsidRPr="003A0D37">
        <w:t>Hazcard</w:t>
      </w:r>
      <w:proofErr w:type="spellEnd"/>
      <w:r w:rsidRPr="003A0D37">
        <w:t> HC095A and CLEAPSS Recipe Book RB080.</w:t>
      </w:r>
    </w:p>
    <w:p w14:paraId="68D34CAE" w14:textId="77777777" w:rsidR="003A0D37" w:rsidRDefault="003A0D37" w:rsidP="003A0D37">
      <w:pPr>
        <w:numPr>
          <w:ilvl w:val="0"/>
          <w:numId w:val="10"/>
        </w:numPr>
        <w:spacing w:after="120"/>
        <w:ind w:left="714" w:hanging="357"/>
      </w:pPr>
      <w:r w:rsidRPr="003A0D37">
        <w:t xml:space="preserve">Calcium nitrate, </w:t>
      </w:r>
      <w:proofErr w:type="gramStart"/>
      <w:r w:rsidRPr="003A0D37">
        <w:t>Ca(</w:t>
      </w:r>
      <w:proofErr w:type="gramEnd"/>
      <w:r w:rsidRPr="003A0D37">
        <w:t>NO</w:t>
      </w:r>
      <w:r w:rsidRPr="003A0D37">
        <w:rPr>
          <w:vertAlign w:val="subscript"/>
        </w:rPr>
        <w:t>3</w:t>
      </w:r>
      <w:r w:rsidRPr="003A0D37">
        <w:t>)</w:t>
      </w:r>
      <w:r w:rsidRPr="003A0D37">
        <w:rPr>
          <w:vertAlign w:val="subscript"/>
        </w:rPr>
        <w:t>2</w:t>
      </w:r>
      <w:r w:rsidRPr="003A0D37">
        <w:t>.4H</w:t>
      </w:r>
      <w:r w:rsidRPr="003A0D37">
        <w:rPr>
          <w:vertAlign w:val="subscript"/>
        </w:rPr>
        <w:t>2</w:t>
      </w:r>
      <w:r w:rsidRPr="003A0D37">
        <w:t>O, 0.5 mol dm</w:t>
      </w:r>
      <w:r w:rsidRPr="003A0D37">
        <w:rPr>
          <w:vertAlign w:val="superscript"/>
        </w:rPr>
        <w:t>–3</w:t>
      </w:r>
      <w:r w:rsidRPr="003A0D37">
        <w:t xml:space="preserve"> is of low hazard. See CLEAPSS </w:t>
      </w:r>
      <w:proofErr w:type="spellStart"/>
      <w:r w:rsidRPr="003A0D37">
        <w:t>Hazcard</w:t>
      </w:r>
      <w:proofErr w:type="spellEnd"/>
      <w:r w:rsidRPr="003A0D37">
        <w:t> HC019B and CLEAPSS Recipe Book RB019.</w:t>
      </w:r>
    </w:p>
    <w:p w14:paraId="3CB2997C" w14:textId="0D31A96C" w:rsidR="003A0D37" w:rsidRDefault="003A0D37" w:rsidP="003A0D37">
      <w:pPr>
        <w:numPr>
          <w:ilvl w:val="0"/>
          <w:numId w:val="10"/>
        </w:numPr>
        <w:spacing w:after="120"/>
        <w:ind w:left="714" w:hanging="357"/>
      </w:pPr>
      <w:r w:rsidRPr="003A0D37">
        <w:t>Hydrochloric acid, HCl(</w:t>
      </w:r>
      <w:proofErr w:type="spellStart"/>
      <w:r w:rsidRPr="003A0D37">
        <w:t>aq</w:t>
      </w:r>
      <w:proofErr w:type="spellEnd"/>
      <w:r w:rsidRPr="003A0D37">
        <w:t>), 1 mol dm</w:t>
      </w:r>
      <w:r w:rsidRPr="003A0D37">
        <w:rPr>
          <w:vertAlign w:val="superscript"/>
        </w:rPr>
        <w:t>–3</w:t>
      </w:r>
      <w:r w:rsidRPr="003A0D37">
        <w:t xml:space="preserve"> is of low hazard. See CLEAPSS </w:t>
      </w:r>
      <w:proofErr w:type="spellStart"/>
      <w:r w:rsidRPr="003A0D37">
        <w:t>Hazcard</w:t>
      </w:r>
      <w:proofErr w:type="spellEnd"/>
      <w:r w:rsidRPr="003A0D37">
        <w:t> HC047a and CLEAPSS Recipe Book RB043.</w:t>
      </w:r>
    </w:p>
    <w:p w14:paraId="453D5187" w14:textId="77777777" w:rsidR="003A0D37" w:rsidRPr="009B1449" w:rsidRDefault="003A0D37" w:rsidP="003A0D37">
      <w:pPr>
        <w:spacing w:after="120"/>
      </w:pPr>
    </w:p>
    <w:p w14:paraId="00B24E25" w14:textId="5851CACB" w:rsidR="009B1449" w:rsidRDefault="007F04CB" w:rsidP="007F04CB">
      <w:pPr>
        <w:pStyle w:val="Heading2"/>
      </w:pPr>
      <w:r>
        <w:lastRenderedPageBreak/>
        <w:t>Notes and expected observations</w:t>
      </w:r>
    </w:p>
    <w:p w14:paraId="54DDBDD6" w14:textId="59C8B0C1" w:rsidR="007F04CB" w:rsidRDefault="007F04CB" w:rsidP="007F04CB"/>
    <w:p w14:paraId="785E4CD9" w14:textId="015CF4DF" w:rsidR="007F04CB" w:rsidRDefault="007F04CB" w:rsidP="007F04CB">
      <w:r w:rsidRPr="007F04CB">
        <w:t>Students should find that there is a negligible difference in mass before and after mixing the sodium carbonate/calcium nitrate solution but there is some difference in mass in the magnesium or marble chip reaction with hydrochloric acid.</w:t>
      </w:r>
    </w:p>
    <w:p w14:paraId="523E49EE" w14:textId="77777777" w:rsidR="007F04CB" w:rsidRPr="007F04CB" w:rsidRDefault="007F04CB" w:rsidP="007F04CB"/>
    <w:p w14:paraId="54B7198A" w14:textId="3AA713DE" w:rsidR="007F04CB" w:rsidRDefault="007F04CB" w:rsidP="007F04CB">
      <w:r w:rsidRPr="007F04CB">
        <w:t xml:space="preserve">The success of this experiment depends on careful working by students and on the reliability of the balance and its proper use. Other combinations of substances could be </w:t>
      </w:r>
      <w:proofErr w:type="gramStart"/>
      <w:r w:rsidRPr="007F04CB">
        <w:t>examined</w:t>
      </w:r>
      <w:proofErr w:type="gramEnd"/>
      <w:r w:rsidRPr="007F04CB">
        <w:t xml:space="preserve"> and the experiment could be used as an investigation.</w:t>
      </w:r>
    </w:p>
    <w:p w14:paraId="36B1EE69" w14:textId="77777777" w:rsidR="007F04CB" w:rsidRPr="007F04CB" w:rsidRDefault="007F04CB" w:rsidP="007F04CB"/>
    <w:p w14:paraId="0331B92E" w14:textId="10CAD455" w:rsidR="007F04CB" w:rsidRPr="007F04CB" w:rsidRDefault="007F04CB" w:rsidP="007F04CB">
      <w:r w:rsidRPr="007F04CB">
        <w:t>As an outcome of this experiment students should appreciate that matter is neither created nor destroyed in chemical reactions and that this is a very fundamental aspect of chemistry. It should also help them in balancing chemical equations!</w:t>
      </w:r>
    </w:p>
    <w:sectPr w:rsidR="007F04CB" w:rsidRPr="007F04CB" w:rsidSect="007F04CB">
      <w:footerReference w:type="default" r:id="rId13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783B6" w14:textId="77777777" w:rsidR="00CB6C84" w:rsidRDefault="00CB6C84" w:rsidP="00883634">
      <w:pPr>
        <w:spacing w:line="240" w:lineRule="auto"/>
      </w:pPr>
      <w:r>
        <w:separator/>
      </w:r>
    </w:p>
  </w:endnote>
  <w:endnote w:type="continuationSeparator" w:id="0">
    <w:p w14:paraId="2EADCE2E" w14:textId="77777777" w:rsidR="00CB6C84" w:rsidRDefault="00CB6C84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CB23C" w14:textId="3E0C0FB0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6" name="Picture 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6F1D7B">
      <w:rPr>
        <w:sz w:val="16"/>
        <w:szCs w:val="16"/>
      </w:rPr>
      <w:t xml:space="preserve"> </w:t>
    </w:r>
    <w:hyperlink r:id="rId2" w:history="1">
      <w:r w:rsidR="00CA351C" w:rsidRPr="0031069B">
        <w:rPr>
          <w:rStyle w:val="Hyperlink"/>
          <w:sz w:val="16"/>
          <w:szCs w:val="16"/>
        </w:rPr>
        <w:t>https://rsc.li/3h3vfcA</w:t>
      </w:r>
    </w:hyperlink>
    <w:r w:rsidR="00CA351C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A068A" w14:textId="77777777" w:rsidR="00CB6C84" w:rsidRDefault="00CB6C84" w:rsidP="00883634">
      <w:pPr>
        <w:spacing w:line="240" w:lineRule="auto"/>
      </w:pPr>
      <w:r>
        <w:separator/>
      </w:r>
    </w:p>
  </w:footnote>
  <w:footnote w:type="continuationSeparator" w:id="0">
    <w:p w14:paraId="5319977D" w14:textId="77777777" w:rsidR="00CB6C84" w:rsidRDefault="00CB6C84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7079C"/>
    <w:multiLevelType w:val="multilevel"/>
    <w:tmpl w:val="20501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6C5A77"/>
    <w:multiLevelType w:val="multilevel"/>
    <w:tmpl w:val="9F1A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52D6D"/>
    <w:multiLevelType w:val="multilevel"/>
    <w:tmpl w:val="E286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5501B9"/>
    <w:multiLevelType w:val="multilevel"/>
    <w:tmpl w:val="8A9C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6"/>
  </w:num>
  <w:num w:numId="5">
    <w:abstractNumId w:val="10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063855"/>
    <w:rsid w:val="0010594E"/>
    <w:rsid w:val="00107A74"/>
    <w:rsid w:val="00121D41"/>
    <w:rsid w:val="0015353F"/>
    <w:rsid w:val="001546EA"/>
    <w:rsid w:val="001554E7"/>
    <w:rsid w:val="001637E5"/>
    <w:rsid w:val="00196E56"/>
    <w:rsid w:val="0019786D"/>
    <w:rsid w:val="001C3E42"/>
    <w:rsid w:val="002479DD"/>
    <w:rsid w:val="002B32A0"/>
    <w:rsid w:val="002E173F"/>
    <w:rsid w:val="00315C09"/>
    <w:rsid w:val="00357DE0"/>
    <w:rsid w:val="00384C00"/>
    <w:rsid w:val="003A0D37"/>
    <w:rsid w:val="003F3444"/>
    <w:rsid w:val="00402AB6"/>
    <w:rsid w:val="00412A04"/>
    <w:rsid w:val="00412CD8"/>
    <w:rsid w:val="00442C64"/>
    <w:rsid w:val="00452BAE"/>
    <w:rsid w:val="004B7F5F"/>
    <w:rsid w:val="004F37DE"/>
    <w:rsid w:val="0050198A"/>
    <w:rsid w:val="0051648C"/>
    <w:rsid w:val="00530E52"/>
    <w:rsid w:val="005E2D53"/>
    <w:rsid w:val="005E4E58"/>
    <w:rsid w:val="005F10C0"/>
    <w:rsid w:val="006223BA"/>
    <w:rsid w:val="00623869"/>
    <w:rsid w:val="00683FBC"/>
    <w:rsid w:val="00695E32"/>
    <w:rsid w:val="006A7649"/>
    <w:rsid w:val="006B2D5F"/>
    <w:rsid w:val="006E6495"/>
    <w:rsid w:val="006F11C7"/>
    <w:rsid w:val="006F1D7B"/>
    <w:rsid w:val="0071354C"/>
    <w:rsid w:val="007648CD"/>
    <w:rsid w:val="00795D31"/>
    <w:rsid w:val="007B29DA"/>
    <w:rsid w:val="007C5B2B"/>
    <w:rsid w:val="007F04CB"/>
    <w:rsid w:val="00801C93"/>
    <w:rsid w:val="00883634"/>
    <w:rsid w:val="008D2638"/>
    <w:rsid w:val="008F4566"/>
    <w:rsid w:val="00942589"/>
    <w:rsid w:val="00944467"/>
    <w:rsid w:val="009662E3"/>
    <w:rsid w:val="009827C9"/>
    <w:rsid w:val="009A34C5"/>
    <w:rsid w:val="009A4E4D"/>
    <w:rsid w:val="009B1449"/>
    <w:rsid w:val="009C28B0"/>
    <w:rsid w:val="009C6C7F"/>
    <w:rsid w:val="00AD3FFE"/>
    <w:rsid w:val="00B2046D"/>
    <w:rsid w:val="00B41432"/>
    <w:rsid w:val="00B76B6A"/>
    <w:rsid w:val="00B802D2"/>
    <w:rsid w:val="00B87E51"/>
    <w:rsid w:val="00BC5C4C"/>
    <w:rsid w:val="00BC7C98"/>
    <w:rsid w:val="00C0182D"/>
    <w:rsid w:val="00C11EC1"/>
    <w:rsid w:val="00C611F9"/>
    <w:rsid w:val="00CA351C"/>
    <w:rsid w:val="00CB6C84"/>
    <w:rsid w:val="00CF5E46"/>
    <w:rsid w:val="00D02E80"/>
    <w:rsid w:val="00D15C73"/>
    <w:rsid w:val="00D32040"/>
    <w:rsid w:val="00DB7CF6"/>
    <w:rsid w:val="00DC4499"/>
    <w:rsid w:val="00E04D15"/>
    <w:rsid w:val="00E31BCE"/>
    <w:rsid w:val="00E6281A"/>
    <w:rsid w:val="00E64520"/>
    <w:rsid w:val="00E81B12"/>
    <w:rsid w:val="00EA245E"/>
    <w:rsid w:val="00EE1EE1"/>
    <w:rsid w:val="00EE4ECC"/>
    <w:rsid w:val="00EE7B55"/>
    <w:rsid w:val="00F36FC4"/>
    <w:rsid w:val="00F93ED9"/>
    <w:rsid w:val="00F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02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sc.li/3aZZM7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tpLao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h3vfc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changes in chemical reactions - teacher notes</dc:title>
  <dc:subject>Use these teacher notes to help set up a microscale class experiment to investigate the conservation of mass in chemical reactions.</dc:subject>
  <dc:creator>Royal Society of Chemistry</dc:creator>
  <cp:keywords/>
  <dc:description/>
  <cp:lastModifiedBy>Chris Runciman</cp:lastModifiedBy>
  <cp:revision>19</cp:revision>
  <dcterms:created xsi:type="dcterms:W3CDTF">2021-05-05T11:58:00Z</dcterms:created>
  <dcterms:modified xsi:type="dcterms:W3CDTF">2021-06-25T12:51:00Z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