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0589B2D8" w:rsidR="009C6C7F" w:rsidRDefault="00C11EC1" w:rsidP="006E6495">
      <w:pPr>
        <w:pStyle w:val="Heading1"/>
      </w:pPr>
      <w:r>
        <w:t xml:space="preserve">Sulfate and carbonate solubility of Groups 1 and 2 – </w:t>
      </w:r>
      <w:r w:rsidR="000A4351">
        <w:t>teacher notes</w:t>
      </w:r>
    </w:p>
    <w:p w14:paraId="6BD8EAEC" w14:textId="3C389F31" w:rsidR="00EE7B55" w:rsidRDefault="00EE7B55" w:rsidP="006E6495"/>
    <w:p w14:paraId="021FEB16" w14:textId="106129DE" w:rsidR="00623869" w:rsidRDefault="00623869" w:rsidP="006E6495">
      <w:r>
        <w:t xml:space="preserve">In this experiment </w:t>
      </w:r>
      <w:r w:rsidR="000A4351">
        <w:t>students look</w:t>
      </w:r>
      <w:r>
        <w:t xml:space="preserve"> to see whether precipitates form when </w:t>
      </w:r>
      <w:r w:rsidR="000A4351">
        <w:t>they</w:t>
      </w:r>
      <w:r>
        <w:t xml:space="preserve"> add drops of solutions of </w:t>
      </w:r>
      <w:proofErr w:type="spellStart"/>
      <w:r>
        <w:t>sul</w:t>
      </w:r>
      <w:r w:rsidR="00B96084">
        <w:t>f</w:t>
      </w:r>
      <w:r>
        <w:t>ates</w:t>
      </w:r>
      <w:proofErr w:type="spellEnd"/>
      <w:r>
        <w:t xml:space="preserve"> or carbonates to drops of solutions of Group 1 or 2 metal ions.</w:t>
      </w:r>
    </w:p>
    <w:p w14:paraId="604B73C9" w14:textId="77777777" w:rsidR="00623869" w:rsidRDefault="00623869" w:rsidP="006E6495"/>
    <w:p w14:paraId="633FE19B" w14:textId="1EE9375D" w:rsidR="00695E32" w:rsidRPr="00EE7B55" w:rsidRDefault="000A4351" w:rsidP="006E6495">
      <w:r>
        <w:t>Students</w:t>
      </w:r>
      <w:r w:rsidR="00623869">
        <w:t xml:space="preserve"> must wear eye protection.</w:t>
      </w:r>
    </w:p>
    <w:p w14:paraId="560FE798" w14:textId="17DCA41A" w:rsidR="00C5046E" w:rsidRDefault="00E23E48" w:rsidP="000A4351">
      <w:pPr>
        <w:pStyle w:val="Heading2"/>
      </w:pPr>
      <w:r>
        <w:t>Topic</w:t>
      </w:r>
    </w:p>
    <w:p w14:paraId="06903C5C" w14:textId="666850C3" w:rsidR="00E23E48" w:rsidRDefault="00E23E48" w:rsidP="00E23E48"/>
    <w:p w14:paraId="4AEF43A6" w14:textId="0B7E49D9" w:rsidR="00E23E48" w:rsidRDefault="00E23E48" w:rsidP="00E23E48">
      <w:r>
        <w:t>Periodic Table – Groups 1 and 2</w:t>
      </w:r>
    </w:p>
    <w:p w14:paraId="06E3AFC0" w14:textId="6E77B2AC" w:rsidR="00E23E48" w:rsidRDefault="00E23E48" w:rsidP="00E23E48">
      <w:pPr>
        <w:pStyle w:val="Heading2"/>
      </w:pPr>
      <w:r>
        <w:t>Timing</w:t>
      </w:r>
    </w:p>
    <w:p w14:paraId="010E6B99" w14:textId="21426A7B" w:rsidR="00E23E48" w:rsidRDefault="00E23E48" w:rsidP="00E23E48"/>
    <w:p w14:paraId="7C32F566" w14:textId="690B2A2A" w:rsidR="00E23E48" w:rsidRDefault="00E23E48" w:rsidP="00E23E48">
      <w:r>
        <w:t>20 minutes</w:t>
      </w:r>
    </w:p>
    <w:p w14:paraId="13BAC773" w14:textId="6C5D7B40" w:rsidR="00E23E48" w:rsidRDefault="00E23E48" w:rsidP="00E23E48">
      <w:pPr>
        <w:pStyle w:val="Heading2"/>
      </w:pPr>
      <w:r>
        <w:t>Equipment</w:t>
      </w:r>
    </w:p>
    <w:p w14:paraId="594E38F7" w14:textId="28EC392B" w:rsidR="00E23E48" w:rsidRDefault="00E23E48" w:rsidP="00E23E48"/>
    <w:p w14:paraId="0959ED82" w14:textId="141B0C7F" w:rsidR="00E23E48" w:rsidRDefault="00E23E48" w:rsidP="00E23E48">
      <w:pPr>
        <w:pStyle w:val="Heading3"/>
      </w:pPr>
      <w:r>
        <w:t>Apparatus</w:t>
      </w:r>
    </w:p>
    <w:p w14:paraId="6CBB2998" w14:textId="633794AB" w:rsidR="00E23E48" w:rsidRDefault="00E23E48" w:rsidP="00E23E48"/>
    <w:p w14:paraId="1CA4AC08" w14:textId="21658300" w:rsidR="000617A6" w:rsidRDefault="000617A6" w:rsidP="00DA3A73">
      <w:pPr>
        <w:numPr>
          <w:ilvl w:val="0"/>
          <w:numId w:val="9"/>
        </w:numPr>
        <w:spacing w:after="120"/>
        <w:ind w:left="714" w:hanging="357"/>
      </w:pPr>
      <w:r>
        <w:t>Eye protection</w:t>
      </w:r>
    </w:p>
    <w:p w14:paraId="6E6D31F5" w14:textId="1E9EACB0" w:rsidR="00DA3A73" w:rsidRPr="00DA3A73" w:rsidRDefault="00DA3A73" w:rsidP="00DA3A73">
      <w:pPr>
        <w:numPr>
          <w:ilvl w:val="0"/>
          <w:numId w:val="9"/>
        </w:numPr>
        <w:spacing w:after="120"/>
        <w:ind w:left="714" w:hanging="357"/>
      </w:pPr>
      <w:r w:rsidRPr="00DA3A73">
        <w:t>Student worksheet</w:t>
      </w:r>
    </w:p>
    <w:p w14:paraId="6E22676E" w14:textId="77777777" w:rsidR="00DA3A73" w:rsidRPr="00DA3A73" w:rsidRDefault="00DA3A73" w:rsidP="00DA3A73">
      <w:pPr>
        <w:numPr>
          <w:ilvl w:val="0"/>
          <w:numId w:val="9"/>
        </w:numPr>
        <w:spacing w:after="120"/>
        <w:ind w:left="714" w:hanging="357"/>
      </w:pPr>
      <w:r w:rsidRPr="00DA3A73">
        <w:t xml:space="preserve">Clear plastic sheet (eg </w:t>
      </w:r>
      <w:proofErr w:type="spellStart"/>
      <w:r w:rsidRPr="00DA3A73">
        <w:t>ohp</w:t>
      </w:r>
      <w:proofErr w:type="spellEnd"/>
      <w:r w:rsidRPr="00DA3A73">
        <w:t xml:space="preserve"> sheet)</w:t>
      </w:r>
    </w:p>
    <w:p w14:paraId="664F460D" w14:textId="69C71AB5" w:rsidR="00E23E48" w:rsidRDefault="00E23E48" w:rsidP="00E23E48"/>
    <w:p w14:paraId="16587244" w14:textId="23951E07" w:rsidR="00DA3A73" w:rsidRDefault="00DA3A73" w:rsidP="00DA3A73">
      <w:pPr>
        <w:pStyle w:val="Heading3"/>
      </w:pPr>
      <w:r>
        <w:t>Chemicals</w:t>
      </w:r>
    </w:p>
    <w:p w14:paraId="2AADA9FE" w14:textId="635F38A2" w:rsidR="00DA3A73" w:rsidRDefault="00DA3A73" w:rsidP="00DA3A73"/>
    <w:p w14:paraId="46C3D013" w14:textId="3DF01F40" w:rsidR="008C21CC" w:rsidRDefault="008C21CC" w:rsidP="008C21CC">
      <w:r w:rsidRPr="002E4EF0">
        <w:t>Solutions should be contained in plastic pipettes</w:t>
      </w:r>
      <w:r w:rsidR="000617A6">
        <w:t>.</w:t>
      </w:r>
      <w:r w:rsidRPr="002E4EF0">
        <w:t xml:space="preserve"> </w:t>
      </w:r>
      <w:r w:rsidR="000617A6">
        <w:t>S</w:t>
      </w:r>
      <w:r w:rsidRPr="002E4EF0">
        <w:t>ee the accompanying guidance on apparatus and techniques for microscale chemistry</w:t>
      </w:r>
      <w:r>
        <w:t xml:space="preserve"> (</w:t>
      </w:r>
      <w:hyperlink r:id="rId11" w:history="1">
        <w:r w:rsidR="00130D75" w:rsidRPr="0032376A">
          <w:rPr>
            <w:rStyle w:val="Hyperlink"/>
          </w:rPr>
          <w:t>https://rsc.li/3tqe2gh</w:t>
        </w:r>
      </w:hyperlink>
      <w:r>
        <w:t>)</w:t>
      </w:r>
      <w:r w:rsidR="000617A6">
        <w:t>, which includes instructions for preparing a variety of solutions.</w:t>
      </w:r>
    </w:p>
    <w:p w14:paraId="570C8401" w14:textId="77152875" w:rsidR="00DA3A73" w:rsidRDefault="00DA3A73" w:rsidP="00DA3A73"/>
    <w:p w14:paraId="3503DEBC" w14:textId="77777777" w:rsidR="00130D75" w:rsidRPr="00130D75" w:rsidRDefault="00130D75" w:rsidP="00130D75">
      <w:pPr>
        <w:numPr>
          <w:ilvl w:val="0"/>
          <w:numId w:val="10"/>
        </w:numPr>
        <w:spacing w:after="120"/>
        <w:ind w:left="714" w:hanging="357"/>
      </w:pPr>
      <w:r w:rsidRPr="00130D75">
        <w:t>Magnesium nitrate, 0.5 mol dm</w:t>
      </w:r>
      <w:r w:rsidRPr="00130D75">
        <w:rPr>
          <w:vertAlign w:val="superscript"/>
        </w:rPr>
        <w:t>–3</w:t>
      </w:r>
    </w:p>
    <w:p w14:paraId="70849EA5" w14:textId="77777777" w:rsidR="00130D75" w:rsidRPr="00130D75" w:rsidRDefault="00130D75" w:rsidP="00130D75">
      <w:pPr>
        <w:numPr>
          <w:ilvl w:val="0"/>
          <w:numId w:val="10"/>
        </w:numPr>
        <w:spacing w:after="120"/>
        <w:ind w:left="714" w:hanging="357"/>
      </w:pPr>
      <w:r w:rsidRPr="00130D75">
        <w:t>Calcium nitrate, 0.5 mol dm</w:t>
      </w:r>
      <w:r w:rsidRPr="00130D75">
        <w:rPr>
          <w:vertAlign w:val="superscript"/>
        </w:rPr>
        <w:t>–3</w:t>
      </w:r>
    </w:p>
    <w:p w14:paraId="2AC723AB" w14:textId="77777777" w:rsidR="00130D75" w:rsidRPr="00130D75" w:rsidRDefault="00130D75" w:rsidP="00130D75">
      <w:pPr>
        <w:numPr>
          <w:ilvl w:val="0"/>
          <w:numId w:val="10"/>
        </w:numPr>
        <w:spacing w:after="120"/>
        <w:ind w:left="714" w:hanging="357"/>
      </w:pPr>
      <w:r w:rsidRPr="00130D75">
        <w:t>Strontium nitrate, 0.5 mol dm</w:t>
      </w:r>
      <w:r w:rsidRPr="00130D75">
        <w:rPr>
          <w:vertAlign w:val="superscript"/>
        </w:rPr>
        <w:t>–3</w:t>
      </w:r>
    </w:p>
    <w:p w14:paraId="34B01730" w14:textId="77777777" w:rsidR="00130D75" w:rsidRPr="00130D75" w:rsidRDefault="00130D75" w:rsidP="00130D75">
      <w:pPr>
        <w:numPr>
          <w:ilvl w:val="0"/>
          <w:numId w:val="10"/>
        </w:numPr>
        <w:spacing w:after="120"/>
        <w:ind w:left="714" w:hanging="357"/>
      </w:pPr>
      <w:r w:rsidRPr="00130D75">
        <w:t>Barium nitrate, 0.2 mol dm</w:t>
      </w:r>
      <w:r w:rsidRPr="00130D75">
        <w:rPr>
          <w:vertAlign w:val="superscript"/>
        </w:rPr>
        <w:t>–3</w:t>
      </w:r>
    </w:p>
    <w:p w14:paraId="62764B86" w14:textId="77777777" w:rsidR="00130D75" w:rsidRPr="00130D75" w:rsidRDefault="00130D75" w:rsidP="00130D75">
      <w:pPr>
        <w:numPr>
          <w:ilvl w:val="0"/>
          <w:numId w:val="10"/>
        </w:numPr>
        <w:spacing w:after="120"/>
        <w:ind w:left="714" w:hanging="357"/>
      </w:pPr>
      <w:r w:rsidRPr="00130D75">
        <w:t>Lithium bromide, 1 mol dm</w:t>
      </w:r>
      <w:r w:rsidRPr="00130D75">
        <w:rPr>
          <w:vertAlign w:val="superscript"/>
        </w:rPr>
        <w:t>–3</w:t>
      </w:r>
    </w:p>
    <w:p w14:paraId="6F3C51A2" w14:textId="77777777" w:rsidR="00130D75" w:rsidRPr="00130D75" w:rsidRDefault="00130D75" w:rsidP="00130D75">
      <w:pPr>
        <w:numPr>
          <w:ilvl w:val="0"/>
          <w:numId w:val="10"/>
        </w:numPr>
        <w:spacing w:after="120"/>
        <w:ind w:left="714" w:hanging="357"/>
      </w:pPr>
      <w:r w:rsidRPr="00130D75">
        <w:t>Sodium chloride, 0.5 mol dm</w:t>
      </w:r>
      <w:r w:rsidRPr="00130D75">
        <w:rPr>
          <w:vertAlign w:val="superscript"/>
        </w:rPr>
        <w:t>–3</w:t>
      </w:r>
    </w:p>
    <w:p w14:paraId="78149AA6" w14:textId="77777777" w:rsidR="00130D75" w:rsidRPr="00130D75" w:rsidRDefault="00130D75" w:rsidP="00130D75">
      <w:pPr>
        <w:numPr>
          <w:ilvl w:val="0"/>
          <w:numId w:val="10"/>
        </w:numPr>
        <w:spacing w:after="120"/>
        <w:ind w:left="714" w:hanging="357"/>
      </w:pPr>
      <w:r w:rsidRPr="00130D75">
        <w:t>Potassium bromide, 0.2 mol dm</w:t>
      </w:r>
      <w:r w:rsidRPr="00130D75">
        <w:rPr>
          <w:vertAlign w:val="superscript"/>
        </w:rPr>
        <w:t>–3</w:t>
      </w:r>
    </w:p>
    <w:p w14:paraId="497DDA99" w14:textId="77777777" w:rsidR="00130D75" w:rsidRPr="00130D75" w:rsidRDefault="00130D75" w:rsidP="00130D75">
      <w:pPr>
        <w:numPr>
          <w:ilvl w:val="0"/>
          <w:numId w:val="10"/>
        </w:numPr>
        <w:spacing w:after="120"/>
        <w:ind w:left="714" w:hanging="357"/>
      </w:pPr>
      <w:r w:rsidRPr="00130D75">
        <w:t>Sodium carbonate, 0.5 mol dm</w:t>
      </w:r>
      <w:r w:rsidRPr="00130D75">
        <w:rPr>
          <w:vertAlign w:val="superscript"/>
        </w:rPr>
        <w:t>–3</w:t>
      </w:r>
    </w:p>
    <w:p w14:paraId="01BDFBBB" w14:textId="36B8DE95" w:rsidR="00130D75" w:rsidRPr="00DA3A73" w:rsidRDefault="00130D75" w:rsidP="00130D75">
      <w:pPr>
        <w:numPr>
          <w:ilvl w:val="0"/>
          <w:numId w:val="10"/>
        </w:numPr>
        <w:spacing w:after="120"/>
        <w:ind w:left="714" w:hanging="357"/>
      </w:pPr>
      <w:r w:rsidRPr="00130D75">
        <w:t>Sodium s</w:t>
      </w:r>
      <w:r w:rsidR="008A4638">
        <w:t>ulf</w:t>
      </w:r>
      <w:r w:rsidRPr="00130D75">
        <w:t>ate, 0.5 mol dm</w:t>
      </w:r>
      <w:r w:rsidRPr="00130D75">
        <w:rPr>
          <w:vertAlign w:val="superscript"/>
        </w:rPr>
        <w:t>–3</w:t>
      </w:r>
    </w:p>
    <w:p w14:paraId="49014F7C" w14:textId="54DE3B9F" w:rsidR="00F76EAE" w:rsidRDefault="00F76EAE" w:rsidP="00C5046E">
      <w:pPr>
        <w:pStyle w:val="Heading2"/>
      </w:pPr>
      <w:r>
        <w:t>Observations</w:t>
      </w:r>
    </w:p>
    <w:p w14:paraId="6CA22434" w14:textId="2353D488" w:rsidR="00F76EAE" w:rsidRDefault="00F76EAE" w:rsidP="00F76EAE"/>
    <w:p w14:paraId="57DCE478" w14:textId="429FDAB1" w:rsidR="00257088" w:rsidRDefault="00257088" w:rsidP="00257088">
      <w:r w:rsidRPr="00257088">
        <w:t xml:space="preserve">There should be no precipitates in Group 1, indicating that all Group 1 carbonates and </w:t>
      </w:r>
      <w:proofErr w:type="spellStart"/>
      <w:r w:rsidRPr="00257088">
        <w:t>s</w:t>
      </w:r>
      <w:r w:rsidR="008A4638">
        <w:t>ulf</w:t>
      </w:r>
      <w:r w:rsidRPr="00257088">
        <w:t>ates</w:t>
      </w:r>
      <w:proofErr w:type="spellEnd"/>
      <w:r w:rsidRPr="00257088">
        <w:t xml:space="preserve"> are soluble.</w:t>
      </w:r>
    </w:p>
    <w:p w14:paraId="686D5E4B" w14:textId="77777777" w:rsidR="00257088" w:rsidRPr="00257088" w:rsidRDefault="00257088" w:rsidP="00257088"/>
    <w:p w14:paraId="5035B1C0" w14:textId="1B04FDBF" w:rsidR="00257088" w:rsidRDefault="00257088" w:rsidP="00257088">
      <w:r w:rsidRPr="00257088">
        <w:t>For Group 2, magnesium s</w:t>
      </w:r>
      <w:r w:rsidR="008A4638">
        <w:t>ulf</w:t>
      </w:r>
      <w:r w:rsidRPr="00257088">
        <w:t xml:space="preserve">ate is soluble while strontium and barium </w:t>
      </w:r>
      <w:proofErr w:type="spellStart"/>
      <w:r w:rsidRPr="00257088">
        <w:t>s</w:t>
      </w:r>
      <w:r w:rsidR="008A4638">
        <w:t>ulf</w:t>
      </w:r>
      <w:r w:rsidRPr="00257088">
        <w:t>ates</w:t>
      </w:r>
      <w:proofErr w:type="spellEnd"/>
      <w:r w:rsidRPr="00257088">
        <w:t xml:space="preserve"> are insoluble. Calcium s</w:t>
      </w:r>
      <w:r w:rsidR="008A4638">
        <w:t>ulf</w:t>
      </w:r>
      <w:r w:rsidRPr="00257088">
        <w:t xml:space="preserve">ate is particularly interesting because although it is only sparingly </w:t>
      </w:r>
      <w:r w:rsidRPr="00257088">
        <w:lastRenderedPageBreak/>
        <w:t>soluble its solubility is much higher than is expected from the solubility product. This is due to ion pairing of the calcium and s</w:t>
      </w:r>
      <w:r w:rsidR="008A4638">
        <w:t>ulf</w:t>
      </w:r>
      <w:r w:rsidRPr="00257088">
        <w:t>ate ions in aqueous solution. No precipitate will be seen.</w:t>
      </w:r>
    </w:p>
    <w:p w14:paraId="65B89891" w14:textId="77777777" w:rsidR="00257088" w:rsidRPr="00257088" w:rsidRDefault="00257088" w:rsidP="00257088"/>
    <w:p w14:paraId="286AC322" w14:textId="59B76E97" w:rsidR="00257088" w:rsidRPr="00257088" w:rsidRDefault="00257088" w:rsidP="00257088">
      <w:r w:rsidRPr="00257088">
        <w:t>The concepts of solubility product and ion pairing may be too complex for most pre-16 students.</w:t>
      </w:r>
    </w:p>
    <w:p w14:paraId="536671E4" w14:textId="22CCBAF5" w:rsidR="00257088" w:rsidRPr="00257088" w:rsidRDefault="00257088" w:rsidP="00257088">
      <w:pPr>
        <w:pStyle w:val="Heading2"/>
      </w:pPr>
      <w:r w:rsidRPr="00257088">
        <w:t>Tips</w:t>
      </w:r>
    </w:p>
    <w:p w14:paraId="232D070C" w14:textId="77777777" w:rsidR="00257088" w:rsidRPr="00257088" w:rsidRDefault="00257088" w:rsidP="00257088">
      <w:pPr>
        <w:rPr>
          <w:b/>
          <w:bCs/>
        </w:rPr>
      </w:pPr>
    </w:p>
    <w:p w14:paraId="1C2C0947" w14:textId="6D1A8B24" w:rsidR="00257088" w:rsidRDefault="00257088" w:rsidP="00257088">
      <w:r w:rsidRPr="00257088">
        <w:t>Students might think that the Group 1 part of this experiment is rather dull. However, they can be told that chemistry experiments that seem to produce no visual results may nevertheless still produce useful information!</w:t>
      </w:r>
    </w:p>
    <w:p w14:paraId="2E58E0AF" w14:textId="77777777" w:rsidR="00257088" w:rsidRPr="00257088" w:rsidRDefault="00257088" w:rsidP="00257088"/>
    <w:p w14:paraId="66AFF686" w14:textId="5EF035F7" w:rsidR="00257088" w:rsidRPr="00257088" w:rsidRDefault="00257088" w:rsidP="00257088">
      <w:r w:rsidRPr="00257088">
        <w:t>Students should also observe that all the precipitates are white not coloured. The accompanying solubility data will be useful.</w:t>
      </w:r>
    </w:p>
    <w:p w14:paraId="6CE393F8" w14:textId="5184F618" w:rsidR="00257088" w:rsidRPr="00257088" w:rsidRDefault="00257088" w:rsidP="00257088">
      <w:pPr>
        <w:pStyle w:val="Heading2"/>
      </w:pPr>
      <w:r w:rsidRPr="00257088">
        <w:t>Solubility data</w:t>
      </w:r>
    </w:p>
    <w:p w14:paraId="74E1D4E7" w14:textId="77777777" w:rsidR="00257088" w:rsidRPr="00257088" w:rsidRDefault="00257088" w:rsidP="00257088">
      <w:pPr>
        <w:rPr>
          <w:b/>
          <w:bCs/>
        </w:rPr>
      </w:pPr>
    </w:p>
    <w:p w14:paraId="7365153A" w14:textId="16B1881F" w:rsidR="00257088" w:rsidRDefault="00257088" w:rsidP="00257088">
      <w:r w:rsidRPr="00257088">
        <w:t>The table below shows solubility in grams per 100 cm</w:t>
      </w:r>
      <w:r w:rsidRPr="00257088">
        <w:rPr>
          <w:vertAlign w:val="superscript"/>
        </w:rPr>
        <w:t>3</w:t>
      </w:r>
      <w:r w:rsidRPr="00257088">
        <w:t> of water at 20 °C (except where indicated with a superscript).</w:t>
      </w:r>
    </w:p>
    <w:p w14:paraId="33BFDDD0" w14:textId="77777777" w:rsidR="00257088" w:rsidRPr="00257088" w:rsidRDefault="00257088" w:rsidP="00257088"/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</w:tblGrid>
      <w:tr w:rsidR="00257088" w:rsidRPr="00257088" w14:paraId="0630DF4C" w14:textId="77777777" w:rsidTr="00257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404040" w:themeFill="text1" w:themeFillTint="BF"/>
            <w:hideMark/>
          </w:tcPr>
          <w:p w14:paraId="07EC4EFB" w14:textId="77777777" w:rsidR="00257088" w:rsidRPr="00257088" w:rsidRDefault="00257088" w:rsidP="00257088">
            <w:pPr>
              <w:spacing w:line="259" w:lineRule="auto"/>
              <w:rPr>
                <w:color w:val="FFFFFF" w:themeColor="background1"/>
              </w:rPr>
            </w:pPr>
            <w:r w:rsidRPr="00257088">
              <w:rPr>
                <w:color w:val="FFFFFF" w:themeColor="background1"/>
              </w:rPr>
              <w:t> </w:t>
            </w:r>
          </w:p>
        </w:tc>
        <w:tc>
          <w:tcPr>
            <w:tcW w:w="1700" w:type="dxa"/>
            <w:shd w:val="clear" w:color="auto" w:fill="404040" w:themeFill="text1" w:themeFillTint="BF"/>
            <w:hideMark/>
          </w:tcPr>
          <w:p w14:paraId="0F9E9EDF" w14:textId="77777777" w:rsidR="00257088" w:rsidRPr="00257088" w:rsidRDefault="00257088" w:rsidP="0025708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57088">
              <w:rPr>
                <w:color w:val="FFFFFF" w:themeColor="background1"/>
              </w:rPr>
              <w:t>Carbonate </w:t>
            </w:r>
          </w:p>
        </w:tc>
        <w:tc>
          <w:tcPr>
            <w:tcW w:w="1700" w:type="dxa"/>
            <w:shd w:val="clear" w:color="auto" w:fill="404040" w:themeFill="text1" w:themeFillTint="BF"/>
            <w:hideMark/>
          </w:tcPr>
          <w:p w14:paraId="53418084" w14:textId="77777777" w:rsidR="00257088" w:rsidRPr="00257088" w:rsidRDefault="00257088" w:rsidP="0025708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57088">
              <w:rPr>
                <w:color w:val="FFFFFF" w:themeColor="background1"/>
              </w:rPr>
              <w:t>Hydroxide </w:t>
            </w:r>
          </w:p>
        </w:tc>
        <w:tc>
          <w:tcPr>
            <w:tcW w:w="1700" w:type="dxa"/>
            <w:shd w:val="clear" w:color="auto" w:fill="404040" w:themeFill="text1" w:themeFillTint="BF"/>
            <w:hideMark/>
          </w:tcPr>
          <w:p w14:paraId="12EC27F0" w14:textId="77777777" w:rsidR="00257088" w:rsidRPr="00257088" w:rsidRDefault="00257088" w:rsidP="0025708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57088">
              <w:rPr>
                <w:color w:val="FFFFFF" w:themeColor="background1"/>
              </w:rPr>
              <w:t>Sulfate </w:t>
            </w:r>
          </w:p>
        </w:tc>
        <w:tc>
          <w:tcPr>
            <w:tcW w:w="1700" w:type="dxa"/>
            <w:shd w:val="clear" w:color="auto" w:fill="404040" w:themeFill="text1" w:themeFillTint="BF"/>
            <w:hideMark/>
          </w:tcPr>
          <w:p w14:paraId="08C4EFD1" w14:textId="77777777" w:rsidR="00257088" w:rsidRPr="00257088" w:rsidRDefault="00257088" w:rsidP="0025708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57088">
              <w:rPr>
                <w:color w:val="FFFFFF" w:themeColor="background1"/>
              </w:rPr>
              <w:t>Fluoride </w:t>
            </w:r>
          </w:p>
        </w:tc>
      </w:tr>
      <w:tr w:rsidR="00257088" w:rsidRPr="00257088" w14:paraId="3366C863" w14:textId="77777777" w:rsidTr="0025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404040" w:themeFill="text1" w:themeFillTint="BF"/>
            <w:hideMark/>
          </w:tcPr>
          <w:p w14:paraId="1BF32D32" w14:textId="77777777" w:rsidR="00257088" w:rsidRPr="00257088" w:rsidRDefault="00257088" w:rsidP="00257088">
            <w:pPr>
              <w:spacing w:line="259" w:lineRule="auto"/>
              <w:rPr>
                <w:color w:val="FFFFFF" w:themeColor="background1"/>
              </w:rPr>
            </w:pPr>
            <w:r w:rsidRPr="00257088">
              <w:rPr>
                <w:color w:val="FFFFFF" w:themeColor="background1"/>
              </w:rPr>
              <w:t>Magnesium </w:t>
            </w:r>
          </w:p>
        </w:tc>
        <w:tc>
          <w:tcPr>
            <w:tcW w:w="1700" w:type="dxa"/>
            <w:hideMark/>
          </w:tcPr>
          <w:p w14:paraId="5B198EAF" w14:textId="77777777" w:rsidR="00257088" w:rsidRPr="00257088" w:rsidRDefault="00257088" w:rsidP="0025708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088">
              <w:t>0.0106 </w:t>
            </w:r>
          </w:p>
        </w:tc>
        <w:tc>
          <w:tcPr>
            <w:tcW w:w="1700" w:type="dxa"/>
            <w:hideMark/>
          </w:tcPr>
          <w:p w14:paraId="7E83C043" w14:textId="77777777" w:rsidR="00257088" w:rsidRPr="00257088" w:rsidRDefault="00257088" w:rsidP="0025708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088">
              <w:t>0.0009 </w:t>
            </w:r>
          </w:p>
        </w:tc>
        <w:tc>
          <w:tcPr>
            <w:tcW w:w="1700" w:type="dxa"/>
            <w:hideMark/>
          </w:tcPr>
          <w:p w14:paraId="1F73D1BD" w14:textId="77777777" w:rsidR="00257088" w:rsidRPr="00257088" w:rsidRDefault="00257088" w:rsidP="0025708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088">
              <w:t>73.8 </w:t>
            </w:r>
          </w:p>
        </w:tc>
        <w:tc>
          <w:tcPr>
            <w:tcW w:w="1700" w:type="dxa"/>
            <w:hideMark/>
          </w:tcPr>
          <w:p w14:paraId="3941FBD4" w14:textId="77777777" w:rsidR="00257088" w:rsidRPr="00257088" w:rsidRDefault="00257088" w:rsidP="0025708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088">
              <w:t>0.0076</w:t>
            </w:r>
            <w:r w:rsidRPr="00257088">
              <w:rPr>
                <w:vertAlign w:val="superscript"/>
              </w:rPr>
              <w:t>28</w:t>
            </w:r>
            <w:r w:rsidRPr="00257088">
              <w:t> </w:t>
            </w:r>
          </w:p>
        </w:tc>
      </w:tr>
      <w:tr w:rsidR="00257088" w:rsidRPr="00257088" w14:paraId="196DBFA8" w14:textId="77777777" w:rsidTr="002570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404040" w:themeFill="text1" w:themeFillTint="BF"/>
            <w:hideMark/>
          </w:tcPr>
          <w:p w14:paraId="092245AD" w14:textId="77777777" w:rsidR="00257088" w:rsidRPr="00257088" w:rsidRDefault="00257088" w:rsidP="00257088">
            <w:pPr>
              <w:spacing w:line="259" w:lineRule="auto"/>
              <w:rPr>
                <w:color w:val="FFFFFF" w:themeColor="background1"/>
              </w:rPr>
            </w:pPr>
            <w:r w:rsidRPr="00257088">
              <w:rPr>
                <w:color w:val="FFFFFF" w:themeColor="background1"/>
              </w:rPr>
              <w:t>Calcium </w:t>
            </w:r>
          </w:p>
        </w:tc>
        <w:tc>
          <w:tcPr>
            <w:tcW w:w="1700" w:type="dxa"/>
            <w:hideMark/>
          </w:tcPr>
          <w:p w14:paraId="02D7AACF" w14:textId="77777777" w:rsidR="00257088" w:rsidRPr="00257088" w:rsidRDefault="00257088" w:rsidP="0025708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7088">
              <w:t>0.0014 </w:t>
            </w:r>
          </w:p>
        </w:tc>
        <w:tc>
          <w:tcPr>
            <w:tcW w:w="1700" w:type="dxa"/>
            <w:hideMark/>
          </w:tcPr>
          <w:p w14:paraId="26C07A14" w14:textId="77777777" w:rsidR="00257088" w:rsidRPr="00257088" w:rsidRDefault="00257088" w:rsidP="0025708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7088">
              <w:t>0.185 </w:t>
            </w:r>
          </w:p>
        </w:tc>
        <w:tc>
          <w:tcPr>
            <w:tcW w:w="1700" w:type="dxa"/>
            <w:hideMark/>
          </w:tcPr>
          <w:p w14:paraId="4118118F" w14:textId="77777777" w:rsidR="00257088" w:rsidRPr="00257088" w:rsidRDefault="00257088" w:rsidP="0025708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7088">
              <w:t>0.209 </w:t>
            </w:r>
          </w:p>
        </w:tc>
        <w:tc>
          <w:tcPr>
            <w:tcW w:w="1700" w:type="dxa"/>
            <w:hideMark/>
          </w:tcPr>
          <w:p w14:paraId="53665F95" w14:textId="77777777" w:rsidR="00257088" w:rsidRPr="00257088" w:rsidRDefault="00257088" w:rsidP="0025708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7088">
              <w:t>0.0016</w:t>
            </w:r>
            <w:r w:rsidRPr="00257088">
              <w:rPr>
                <w:vertAlign w:val="superscript"/>
              </w:rPr>
              <w:t>18</w:t>
            </w:r>
            <w:r w:rsidRPr="00257088">
              <w:t> </w:t>
            </w:r>
          </w:p>
        </w:tc>
      </w:tr>
      <w:tr w:rsidR="00257088" w:rsidRPr="00257088" w14:paraId="140DEEE4" w14:textId="77777777" w:rsidTr="0025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404040" w:themeFill="text1" w:themeFillTint="BF"/>
            <w:hideMark/>
          </w:tcPr>
          <w:p w14:paraId="225E526B" w14:textId="77777777" w:rsidR="00257088" w:rsidRPr="00257088" w:rsidRDefault="00257088" w:rsidP="00257088">
            <w:pPr>
              <w:spacing w:line="259" w:lineRule="auto"/>
              <w:rPr>
                <w:color w:val="FFFFFF" w:themeColor="background1"/>
              </w:rPr>
            </w:pPr>
            <w:r w:rsidRPr="00257088">
              <w:rPr>
                <w:color w:val="FFFFFF" w:themeColor="background1"/>
              </w:rPr>
              <w:t>Strontium </w:t>
            </w:r>
          </w:p>
        </w:tc>
        <w:tc>
          <w:tcPr>
            <w:tcW w:w="1700" w:type="dxa"/>
            <w:hideMark/>
          </w:tcPr>
          <w:p w14:paraId="178CAA2A" w14:textId="77777777" w:rsidR="00257088" w:rsidRPr="00257088" w:rsidRDefault="00257088" w:rsidP="0025708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088">
              <w:t>0.0011 </w:t>
            </w:r>
          </w:p>
        </w:tc>
        <w:tc>
          <w:tcPr>
            <w:tcW w:w="1700" w:type="dxa"/>
            <w:hideMark/>
          </w:tcPr>
          <w:p w14:paraId="0A68D831" w14:textId="77777777" w:rsidR="00257088" w:rsidRPr="00257088" w:rsidRDefault="00257088" w:rsidP="0025708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088">
              <w:t>0.41 </w:t>
            </w:r>
          </w:p>
        </w:tc>
        <w:tc>
          <w:tcPr>
            <w:tcW w:w="1700" w:type="dxa"/>
            <w:hideMark/>
          </w:tcPr>
          <w:p w14:paraId="733A757D" w14:textId="77777777" w:rsidR="00257088" w:rsidRPr="00257088" w:rsidRDefault="00257088" w:rsidP="0025708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088">
              <w:t>0.0113 </w:t>
            </w:r>
          </w:p>
        </w:tc>
        <w:tc>
          <w:tcPr>
            <w:tcW w:w="1700" w:type="dxa"/>
            <w:hideMark/>
          </w:tcPr>
          <w:p w14:paraId="24BA2443" w14:textId="77777777" w:rsidR="00257088" w:rsidRPr="00257088" w:rsidRDefault="00257088" w:rsidP="0025708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088">
              <w:t>0.012</w:t>
            </w:r>
            <w:r w:rsidRPr="00257088">
              <w:rPr>
                <w:vertAlign w:val="superscript"/>
              </w:rPr>
              <w:t>27</w:t>
            </w:r>
            <w:r w:rsidRPr="00257088">
              <w:t> </w:t>
            </w:r>
          </w:p>
        </w:tc>
      </w:tr>
      <w:tr w:rsidR="00257088" w:rsidRPr="00257088" w14:paraId="77FAE1C9" w14:textId="77777777" w:rsidTr="002570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404040" w:themeFill="text1" w:themeFillTint="BF"/>
            <w:hideMark/>
          </w:tcPr>
          <w:p w14:paraId="75925E6B" w14:textId="77777777" w:rsidR="00257088" w:rsidRPr="00257088" w:rsidRDefault="00257088" w:rsidP="00257088">
            <w:pPr>
              <w:spacing w:line="259" w:lineRule="auto"/>
              <w:rPr>
                <w:color w:val="FFFFFF" w:themeColor="background1"/>
              </w:rPr>
            </w:pPr>
            <w:r w:rsidRPr="00257088">
              <w:rPr>
                <w:color w:val="FFFFFF" w:themeColor="background1"/>
              </w:rPr>
              <w:t>Barium </w:t>
            </w:r>
          </w:p>
        </w:tc>
        <w:tc>
          <w:tcPr>
            <w:tcW w:w="1700" w:type="dxa"/>
            <w:hideMark/>
          </w:tcPr>
          <w:p w14:paraId="0B3D148D" w14:textId="77777777" w:rsidR="00257088" w:rsidRPr="00257088" w:rsidRDefault="00257088" w:rsidP="0025708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7088">
              <w:t>0.002 </w:t>
            </w:r>
          </w:p>
        </w:tc>
        <w:tc>
          <w:tcPr>
            <w:tcW w:w="1700" w:type="dxa"/>
            <w:hideMark/>
          </w:tcPr>
          <w:p w14:paraId="414A2B6E" w14:textId="77777777" w:rsidR="00257088" w:rsidRPr="00257088" w:rsidRDefault="00257088" w:rsidP="0025708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7088">
              <w:t>5.6 </w:t>
            </w:r>
          </w:p>
        </w:tc>
        <w:tc>
          <w:tcPr>
            <w:tcW w:w="1700" w:type="dxa"/>
            <w:hideMark/>
          </w:tcPr>
          <w:p w14:paraId="5570FC5E" w14:textId="77777777" w:rsidR="00257088" w:rsidRPr="00257088" w:rsidRDefault="00257088" w:rsidP="0025708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7088">
              <w:t>0.00022 </w:t>
            </w:r>
          </w:p>
        </w:tc>
        <w:tc>
          <w:tcPr>
            <w:tcW w:w="1700" w:type="dxa"/>
            <w:hideMark/>
          </w:tcPr>
          <w:p w14:paraId="6A8E8115" w14:textId="77777777" w:rsidR="00257088" w:rsidRPr="00257088" w:rsidRDefault="00257088" w:rsidP="0025708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7088">
              <w:t>0.12</w:t>
            </w:r>
            <w:r w:rsidRPr="00257088">
              <w:rPr>
                <w:vertAlign w:val="superscript"/>
              </w:rPr>
              <w:t>25 </w:t>
            </w:r>
          </w:p>
        </w:tc>
      </w:tr>
    </w:tbl>
    <w:p w14:paraId="22829DEF" w14:textId="77777777" w:rsidR="00257088" w:rsidRDefault="00257088" w:rsidP="00F76EAE"/>
    <w:p w14:paraId="620D1FC6" w14:textId="016F364B" w:rsidR="00F76EAE" w:rsidRPr="00F76EAE" w:rsidRDefault="00257088" w:rsidP="00F76EAE">
      <w:r w:rsidRPr="00257088">
        <w:t>Source: </w:t>
      </w:r>
      <w:r w:rsidRPr="00257088">
        <w:rPr>
          <w:i/>
          <w:iCs/>
        </w:rPr>
        <w:t>CRC handbook of chemistry and physics</w:t>
      </w:r>
      <w:r w:rsidRPr="00257088">
        <w:t xml:space="preserve">, 74th </w:t>
      </w:r>
      <w:proofErr w:type="spellStart"/>
      <w:r w:rsidRPr="00257088">
        <w:t>edn</w:t>
      </w:r>
      <w:proofErr w:type="spellEnd"/>
      <w:r w:rsidRPr="00257088">
        <w:t>., 1993–4.</w:t>
      </w:r>
    </w:p>
    <w:p w14:paraId="6A134B70" w14:textId="0DE934E7" w:rsidR="00C5046E" w:rsidRDefault="00C5046E" w:rsidP="00C5046E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469F47FA" w14:textId="77777777" w:rsidR="009C4C95" w:rsidRPr="009C4C95" w:rsidRDefault="009C4C95" w:rsidP="009C4C95"/>
    <w:p w14:paraId="13D64DFD" w14:textId="3E64DBF5" w:rsidR="00C5046E" w:rsidRDefault="008A4638" w:rsidP="009C4C95">
      <w:pPr>
        <w:numPr>
          <w:ilvl w:val="0"/>
          <w:numId w:val="11"/>
        </w:numPr>
        <w:spacing w:after="120"/>
        <w:ind w:left="714" w:hanging="357"/>
      </w:pPr>
      <w:hyperlink r:id="rId12" w:history="1">
        <w:r w:rsidR="009C4C95" w:rsidRPr="009C4C95">
          <w:rPr>
            <w:rStyle w:val="Hyperlink"/>
          </w:rPr>
          <w:t>Read our standard health and safety guidance.</w:t>
        </w:r>
      </w:hyperlink>
      <w:r w:rsidR="009C4C95">
        <w:t xml:space="preserve"> It is the responsibility of the teacher to carry out a risk assessment.</w:t>
      </w:r>
    </w:p>
    <w:p w14:paraId="3BFBB966" w14:textId="2A4890A7" w:rsidR="00C5046E" w:rsidRDefault="008F2149" w:rsidP="008A4638">
      <w:pPr>
        <w:numPr>
          <w:ilvl w:val="0"/>
          <w:numId w:val="8"/>
        </w:numPr>
        <w:spacing w:after="120"/>
        <w:ind w:hanging="357"/>
      </w:pPr>
      <w:r w:rsidRPr="008F2149">
        <w:t>Wear eye protection throughout.</w:t>
      </w:r>
    </w:p>
    <w:p w14:paraId="5DC09BC4" w14:textId="77777777" w:rsidR="008A4638" w:rsidRPr="008A4638" w:rsidRDefault="008A4638" w:rsidP="008A4638">
      <w:pPr>
        <w:numPr>
          <w:ilvl w:val="0"/>
          <w:numId w:val="12"/>
        </w:numPr>
        <w:spacing w:after="120"/>
      </w:pPr>
      <w:r w:rsidRPr="008A4638">
        <w:t>The following chemicals are skin/eye IRRITANTS:</w:t>
      </w:r>
    </w:p>
    <w:p w14:paraId="41249BE6" w14:textId="77777777" w:rsidR="008A4638" w:rsidRPr="008A4638" w:rsidRDefault="008A4638" w:rsidP="008A4638">
      <w:pPr>
        <w:numPr>
          <w:ilvl w:val="1"/>
          <w:numId w:val="12"/>
        </w:numPr>
        <w:spacing w:after="120"/>
      </w:pPr>
      <w:r w:rsidRPr="008A4638">
        <w:t>Magnesium nitrate, MgNO</w:t>
      </w:r>
      <w:r w:rsidRPr="008A4638">
        <w:rPr>
          <w:vertAlign w:val="subscript"/>
        </w:rPr>
        <w:t>3</w:t>
      </w:r>
      <w:r w:rsidRPr="008A4638">
        <w:t>.6</w:t>
      </w:r>
      <w:proofErr w:type="gramStart"/>
      <w:r w:rsidRPr="008A4638">
        <w:t>H</w:t>
      </w:r>
      <w:r w:rsidRPr="008A4638">
        <w:rPr>
          <w:vertAlign w:val="subscript"/>
        </w:rPr>
        <w:t>2</w:t>
      </w:r>
      <w:r w:rsidRPr="008A4638">
        <w:t>O(</w:t>
      </w:r>
      <w:proofErr w:type="spellStart"/>
      <w:proofErr w:type="gramEnd"/>
      <w:r w:rsidRPr="008A4638">
        <w:t>aq</w:t>
      </w:r>
      <w:proofErr w:type="spellEnd"/>
      <w:r w:rsidRPr="008A4638">
        <w:t>), 0.5 mol dm</w:t>
      </w:r>
      <w:r w:rsidRPr="008A4638">
        <w:rPr>
          <w:vertAlign w:val="superscript"/>
        </w:rPr>
        <w:t>–3</w:t>
      </w:r>
      <w:r w:rsidRPr="008A4638">
        <w:t xml:space="preserve"> – see CLEAPSS </w:t>
      </w:r>
      <w:proofErr w:type="spellStart"/>
      <w:r w:rsidRPr="008A4638">
        <w:t>Hazcard</w:t>
      </w:r>
      <w:proofErr w:type="spellEnd"/>
      <w:r w:rsidRPr="008A4638">
        <w:t> HC059b.</w:t>
      </w:r>
    </w:p>
    <w:p w14:paraId="347D9D66" w14:textId="77777777" w:rsidR="008A4638" w:rsidRPr="008A4638" w:rsidRDefault="008A4638" w:rsidP="008A4638">
      <w:pPr>
        <w:numPr>
          <w:ilvl w:val="1"/>
          <w:numId w:val="12"/>
        </w:numPr>
        <w:spacing w:after="120"/>
      </w:pPr>
      <w:r w:rsidRPr="008A4638">
        <w:t xml:space="preserve">Calcium nitrate, </w:t>
      </w:r>
      <w:proofErr w:type="gramStart"/>
      <w:r w:rsidRPr="008A4638">
        <w:t>Ca(</w:t>
      </w:r>
      <w:proofErr w:type="gramEnd"/>
      <w:r w:rsidRPr="008A4638">
        <w:t>NO</w:t>
      </w:r>
      <w:r w:rsidRPr="008A4638">
        <w:rPr>
          <w:vertAlign w:val="subscript"/>
        </w:rPr>
        <w:t>3</w:t>
      </w:r>
      <w:r w:rsidRPr="008A4638">
        <w:t>)</w:t>
      </w:r>
      <w:r w:rsidRPr="008A4638">
        <w:rPr>
          <w:vertAlign w:val="subscript"/>
        </w:rPr>
        <w:t>2</w:t>
      </w:r>
      <w:r w:rsidRPr="008A4638">
        <w:t>.4H</w:t>
      </w:r>
      <w:r w:rsidRPr="008A4638">
        <w:rPr>
          <w:vertAlign w:val="subscript"/>
        </w:rPr>
        <w:t>2</w:t>
      </w:r>
      <w:r w:rsidRPr="008A4638">
        <w:t>O(</w:t>
      </w:r>
      <w:proofErr w:type="spellStart"/>
      <w:r w:rsidRPr="008A4638">
        <w:t>aq</w:t>
      </w:r>
      <w:proofErr w:type="spellEnd"/>
      <w:r w:rsidRPr="008A4638">
        <w:t>), 0.5 mol dm</w:t>
      </w:r>
      <w:r w:rsidRPr="008A4638">
        <w:rPr>
          <w:vertAlign w:val="superscript"/>
        </w:rPr>
        <w:t>–3</w:t>
      </w:r>
      <w:r w:rsidRPr="008A4638">
        <w:t xml:space="preserve"> – see CLEAPSS </w:t>
      </w:r>
      <w:proofErr w:type="spellStart"/>
      <w:r w:rsidRPr="008A4638">
        <w:t>Hazcard</w:t>
      </w:r>
      <w:proofErr w:type="spellEnd"/>
      <w:r w:rsidRPr="008A4638">
        <w:t> HC019B and CLEAPSS Recipe Book RB019.</w:t>
      </w:r>
    </w:p>
    <w:p w14:paraId="520C1989" w14:textId="77777777" w:rsidR="008A4638" w:rsidRPr="008A4638" w:rsidRDefault="008A4638" w:rsidP="008A4638">
      <w:pPr>
        <w:numPr>
          <w:ilvl w:val="1"/>
          <w:numId w:val="12"/>
        </w:numPr>
        <w:spacing w:after="120"/>
      </w:pPr>
      <w:r w:rsidRPr="008A4638">
        <w:t xml:space="preserve">Strontium nitrate, </w:t>
      </w:r>
      <w:proofErr w:type="gramStart"/>
      <w:r w:rsidRPr="008A4638">
        <w:t>Sr(</w:t>
      </w:r>
      <w:proofErr w:type="gramEnd"/>
      <w:r w:rsidRPr="008A4638">
        <w:t>NO</w:t>
      </w:r>
      <w:r w:rsidRPr="008A4638">
        <w:rPr>
          <w:vertAlign w:val="subscript"/>
        </w:rPr>
        <w:t>3</w:t>
      </w:r>
      <w:r w:rsidRPr="008A4638">
        <w:t>)</w:t>
      </w:r>
      <w:r w:rsidRPr="008A4638">
        <w:rPr>
          <w:vertAlign w:val="subscript"/>
        </w:rPr>
        <w:t>2</w:t>
      </w:r>
      <w:r w:rsidRPr="008A4638">
        <w:t>.4H</w:t>
      </w:r>
      <w:r w:rsidRPr="008A4638">
        <w:rPr>
          <w:vertAlign w:val="subscript"/>
        </w:rPr>
        <w:t>2</w:t>
      </w:r>
      <w:r w:rsidRPr="008A4638">
        <w:t>O(</w:t>
      </w:r>
      <w:proofErr w:type="spellStart"/>
      <w:r w:rsidRPr="008A4638">
        <w:t>aq</w:t>
      </w:r>
      <w:proofErr w:type="spellEnd"/>
      <w:r w:rsidRPr="008A4638">
        <w:t>), 0.5 mol dm</w:t>
      </w:r>
      <w:r w:rsidRPr="008A4638">
        <w:rPr>
          <w:vertAlign w:val="superscript"/>
        </w:rPr>
        <w:t>–3</w:t>
      </w:r>
      <w:r w:rsidRPr="008A4638">
        <w:t xml:space="preserve"> – see CLEAPSS </w:t>
      </w:r>
      <w:proofErr w:type="spellStart"/>
      <w:r w:rsidRPr="008A4638">
        <w:t>Hazcard</w:t>
      </w:r>
      <w:proofErr w:type="spellEnd"/>
      <w:r w:rsidRPr="008A4638">
        <w:t> HC019B and CLEAPSS Recipe Book RB095.</w:t>
      </w:r>
    </w:p>
    <w:p w14:paraId="353C818D" w14:textId="77777777" w:rsidR="008A4638" w:rsidRPr="008A4638" w:rsidRDefault="008A4638" w:rsidP="008A4638">
      <w:pPr>
        <w:numPr>
          <w:ilvl w:val="1"/>
          <w:numId w:val="12"/>
        </w:numPr>
        <w:spacing w:after="120"/>
      </w:pPr>
      <w:r w:rsidRPr="008A4638">
        <w:t xml:space="preserve">Barium nitrate, </w:t>
      </w:r>
      <w:proofErr w:type="gramStart"/>
      <w:r w:rsidRPr="008A4638">
        <w:t>Ba(</w:t>
      </w:r>
      <w:proofErr w:type="gramEnd"/>
      <w:r w:rsidRPr="008A4638">
        <w:t>NO</w:t>
      </w:r>
      <w:r w:rsidRPr="008A4638">
        <w:rPr>
          <w:vertAlign w:val="subscript"/>
        </w:rPr>
        <w:t>3</w:t>
      </w:r>
      <w:r w:rsidRPr="008A4638">
        <w:t>)</w:t>
      </w:r>
      <w:r w:rsidRPr="008A4638">
        <w:rPr>
          <w:vertAlign w:val="subscript"/>
        </w:rPr>
        <w:t>2</w:t>
      </w:r>
      <w:r w:rsidRPr="008A4638">
        <w:t>, 0.2 mol dm</w:t>
      </w:r>
      <w:r w:rsidRPr="008A4638">
        <w:rPr>
          <w:vertAlign w:val="superscript"/>
        </w:rPr>
        <w:t>–3</w:t>
      </w:r>
      <w:r w:rsidRPr="008A4638">
        <w:t xml:space="preserve"> – see CLEAPSS </w:t>
      </w:r>
      <w:proofErr w:type="spellStart"/>
      <w:r w:rsidRPr="008A4638">
        <w:t>Hazcard</w:t>
      </w:r>
      <w:proofErr w:type="spellEnd"/>
      <w:r w:rsidRPr="008A4638">
        <w:t> HC011 and CLEAPSS Recipe Book RB010.</w:t>
      </w:r>
    </w:p>
    <w:p w14:paraId="6D42BD76" w14:textId="48134EF3" w:rsidR="008A4638" w:rsidRPr="008A4638" w:rsidRDefault="008A4638" w:rsidP="008A4638">
      <w:pPr>
        <w:numPr>
          <w:ilvl w:val="1"/>
          <w:numId w:val="12"/>
        </w:numPr>
        <w:spacing w:after="120"/>
      </w:pPr>
      <w:r w:rsidRPr="008A4638">
        <w:t>Sodium carbonate, Na</w:t>
      </w:r>
      <w:r w:rsidRPr="008A4638">
        <w:rPr>
          <w:vertAlign w:val="subscript"/>
        </w:rPr>
        <w:t>2</w:t>
      </w:r>
      <w:r w:rsidRPr="008A4638">
        <w:t>CO</w:t>
      </w:r>
      <w:r w:rsidRPr="008A4638">
        <w:rPr>
          <w:vertAlign w:val="subscript"/>
        </w:rPr>
        <w:t>3</w:t>
      </w:r>
      <w:r w:rsidRPr="008A4638">
        <w:t>.10H</w:t>
      </w:r>
      <w:r w:rsidRPr="008A4638">
        <w:rPr>
          <w:vertAlign w:val="subscript"/>
        </w:rPr>
        <w:t>2</w:t>
      </w:r>
      <w:r w:rsidRPr="008A4638">
        <w:t>O, 0.5 mol dm</w:t>
      </w:r>
      <w:r w:rsidRPr="008A4638">
        <w:rPr>
          <w:vertAlign w:val="superscript"/>
        </w:rPr>
        <w:t>–3</w:t>
      </w:r>
      <w:r w:rsidRPr="008A4638">
        <w:t xml:space="preserve"> – see CLEAPSS </w:t>
      </w:r>
      <w:proofErr w:type="spellStart"/>
      <w:r w:rsidRPr="008A4638">
        <w:t>Hazcard</w:t>
      </w:r>
      <w:proofErr w:type="spellEnd"/>
      <w:r w:rsidRPr="008A4638">
        <w:t> HC095A and CLEAPSS Recipe Book RB080.</w:t>
      </w:r>
      <w:r>
        <w:br/>
      </w:r>
      <w:r>
        <w:br/>
      </w:r>
    </w:p>
    <w:p w14:paraId="346B3D65" w14:textId="77777777" w:rsidR="008A4638" w:rsidRPr="008A4638" w:rsidRDefault="008A4638" w:rsidP="008A4638">
      <w:pPr>
        <w:numPr>
          <w:ilvl w:val="0"/>
          <w:numId w:val="12"/>
        </w:numPr>
        <w:spacing w:after="120"/>
      </w:pPr>
      <w:r w:rsidRPr="008A4638">
        <w:lastRenderedPageBreak/>
        <w:t>The following chemicals are low hazard:</w:t>
      </w:r>
    </w:p>
    <w:p w14:paraId="111F2A54" w14:textId="77777777" w:rsidR="008A4638" w:rsidRPr="008A4638" w:rsidRDefault="008A4638" w:rsidP="008A4638">
      <w:pPr>
        <w:numPr>
          <w:ilvl w:val="1"/>
          <w:numId w:val="12"/>
        </w:numPr>
        <w:spacing w:after="120"/>
      </w:pPr>
      <w:r w:rsidRPr="008A4638">
        <w:t>Sodium sulfate, Na</w:t>
      </w:r>
      <w:r w:rsidRPr="008A4638">
        <w:rPr>
          <w:vertAlign w:val="subscript"/>
        </w:rPr>
        <w:t>2</w:t>
      </w:r>
      <w:r w:rsidRPr="008A4638">
        <w:t>SO</w:t>
      </w:r>
      <w:r w:rsidRPr="008A4638">
        <w:rPr>
          <w:vertAlign w:val="subscript"/>
        </w:rPr>
        <w:t>4</w:t>
      </w:r>
      <w:r w:rsidRPr="008A4638">
        <w:t>(</w:t>
      </w:r>
      <w:proofErr w:type="spellStart"/>
      <w:r w:rsidRPr="008A4638">
        <w:t>aq</w:t>
      </w:r>
      <w:proofErr w:type="spellEnd"/>
      <w:r w:rsidRPr="008A4638">
        <w:t>), 0.5 mol dm</w:t>
      </w:r>
      <w:r w:rsidRPr="008A4638">
        <w:rPr>
          <w:vertAlign w:val="superscript"/>
        </w:rPr>
        <w:t>–3</w:t>
      </w:r>
      <w:r w:rsidRPr="008A4638">
        <w:t xml:space="preserve"> – see CLEAPSS </w:t>
      </w:r>
      <w:proofErr w:type="spellStart"/>
      <w:r w:rsidRPr="008A4638">
        <w:t>Hazcard</w:t>
      </w:r>
      <w:proofErr w:type="spellEnd"/>
      <w:r w:rsidRPr="008A4638">
        <w:t> HC098B.</w:t>
      </w:r>
    </w:p>
    <w:p w14:paraId="73A79BCC" w14:textId="77777777" w:rsidR="008A4638" w:rsidRPr="008A4638" w:rsidRDefault="008A4638" w:rsidP="008A4638">
      <w:pPr>
        <w:numPr>
          <w:ilvl w:val="1"/>
          <w:numId w:val="12"/>
        </w:numPr>
        <w:spacing w:after="120"/>
      </w:pPr>
      <w:r w:rsidRPr="008A4638">
        <w:t>Sodium chloride, NaCl(</w:t>
      </w:r>
      <w:proofErr w:type="spellStart"/>
      <w:r w:rsidRPr="008A4638">
        <w:t>aq</w:t>
      </w:r>
      <w:proofErr w:type="spellEnd"/>
      <w:r w:rsidRPr="008A4638">
        <w:t>), 0.5 mol dm</w:t>
      </w:r>
      <w:r w:rsidRPr="008A4638">
        <w:rPr>
          <w:vertAlign w:val="superscript"/>
        </w:rPr>
        <w:t>–3</w:t>
      </w:r>
      <w:r w:rsidRPr="008A4638">
        <w:t xml:space="preserve"> – see CLEAPSS </w:t>
      </w:r>
      <w:proofErr w:type="spellStart"/>
      <w:r w:rsidRPr="008A4638">
        <w:t>Hazcard</w:t>
      </w:r>
      <w:proofErr w:type="spellEnd"/>
      <w:r w:rsidRPr="008A4638">
        <w:t> HC047b.</w:t>
      </w:r>
    </w:p>
    <w:p w14:paraId="0010E5A9" w14:textId="77777777" w:rsidR="008A4638" w:rsidRPr="008A4638" w:rsidRDefault="008A4638" w:rsidP="008A4638">
      <w:pPr>
        <w:numPr>
          <w:ilvl w:val="1"/>
          <w:numId w:val="12"/>
        </w:numPr>
        <w:spacing w:after="120"/>
      </w:pPr>
      <w:r w:rsidRPr="008A4638">
        <w:t xml:space="preserve">Lithium bromide, </w:t>
      </w:r>
      <w:proofErr w:type="spellStart"/>
      <w:r w:rsidRPr="008A4638">
        <w:t>LiBr</w:t>
      </w:r>
      <w:proofErr w:type="spellEnd"/>
      <w:r w:rsidRPr="008A4638">
        <w:t>(</w:t>
      </w:r>
      <w:proofErr w:type="spellStart"/>
      <w:r w:rsidRPr="008A4638">
        <w:t>aq</w:t>
      </w:r>
      <w:proofErr w:type="spellEnd"/>
      <w:r w:rsidRPr="008A4638">
        <w:t>), 1 mol dm</w:t>
      </w:r>
      <w:r w:rsidRPr="008A4638">
        <w:rPr>
          <w:vertAlign w:val="superscript"/>
        </w:rPr>
        <w:t>–3</w:t>
      </w:r>
    </w:p>
    <w:p w14:paraId="36E25007" w14:textId="259981C1" w:rsidR="008A4638" w:rsidRPr="00695E32" w:rsidRDefault="008A4638" w:rsidP="008A4638">
      <w:pPr>
        <w:numPr>
          <w:ilvl w:val="1"/>
          <w:numId w:val="12"/>
        </w:numPr>
        <w:spacing w:after="120"/>
      </w:pPr>
      <w:r w:rsidRPr="008A4638">
        <w:t>Potassium bromide, KBr(</w:t>
      </w:r>
      <w:proofErr w:type="spellStart"/>
      <w:r w:rsidRPr="008A4638">
        <w:t>aq</w:t>
      </w:r>
      <w:proofErr w:type="spellEnd"/>
      <w:r w:rsidRPr="008A4638">
        <w:t>), 0.2 mol dm</w:t>
      </w:r>
      <w:r w:rsidRPr="008A4638">
        <w:rPr>
          <w:vertAlign w:val="superscript"/>
        </w:rPr>
        <w:t>–3</w:t>
      </w:r>
      <w:r w:rsidRPr="008A4638">
        <w:t xml:space="preserve"> – see CLEAPSS </w:t>
      </w:r>
      <w:proofErr w:type="spellStart"/>
      <w:r w:rsidRPr="008A4638">
        <w:t>Hazcard</w:t>
      </w:r>
      <w:proofErr w:type="spellEnd"/>
      <w:r w:rsidRPr="008A4638">
        <w:t> HC047b.</w:t>
      </w:r>
    </w:p>
    <w:sectPr w:rsidR="008A4638" w:rsidRPr="00695E32" w:rsidSect="009C4C95">
      <w:footerReference w:type="defaul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57A7E" w14:textId="77777777" w:rsidR="004B372D" w:rsidRDefault="004B372D" w:rsidP="00883634">
      <w:pPr>
        <w:spacing w:line="240" w:lineRule="auto"/>
      </w:pPr>
      <w:r>
        <w:separator/>
      </w:r>
    </w:p>
  </w:endnote>
  <w:endnote w:type="continuationSeparator" w:id="0">
    <w:p w14:paraId="5A5DD7B6" w14:textId="77777777" w:rsidR="004B372D" w:rsidRDefault="004B372D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169B823D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4" name="Picture 4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874C69" w:rsidRPr="002C3466">
        <w:rPr>
          <w:rStyle w:val="Hyperlink"/>
          <w:sz w:val="16"/>
          <w:szCs w:val="16"/>
        </w:rPr>
        <w:t>https://rsc.li/3uSaQuW</w:t>
      </w:r>
    </w:hyperlink>
    <w:r w:rsidR="00874C6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53B32" w14:textId="77777777" w:rsidR="004B372D" w:rsidRDefault="004B372D" w:rsidP="00883634">
      <w:pPr>
        <w:spacing w:line="240" w:lineRule="auto"/>
      </w:pPr>
      <w:r>
        <w:separator/>
      </w:r>
    </w:p>
  </w:footnote>
  <w:footnote w:type="continuationSeparator" w:id="0">
    <w:p w14:paraId="30FAB01A" w14:textId="77777777" w:rsidR="004B372D" w:rsidRDefault="004B372D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F2479"/>
    <w:multiLevelType w:val="multilevel"/>
    <w:tmpl w:val="E934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B179D"/>
    <w:multiLevelType w:val="multilevel"/>
    <w:tmpl w:val="442E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37C7E"/>
    <w:multiLevelType w:val="multilevel"/>
    <w:tmpl w:val="93E0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769EF"/>
    <w:multiLevelType w:val="multilevel"/>
    <w:tmpl w:val="A6D4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05ACE"/>
    <w:multiLevelType w:val="multilevel"/>
    <w:tmpl w:val="A844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617A6"/>
    <w:rsid w:val="00072E81"/>
    <w:rsid w:val="00097E2F"/>
    <w:rsid w:val="000A4351"/>
    <w:rsid w:val="0010594E"/>
    <w:rsid w:val="00107A74"/>
    <w:rsid w:val="00121D41"/>
    <w:rsid w:val="00130D75"/>
    <w:rsid w:val="00150B19"/>
    <w:rsid w:val="0015353F"/>
    <w:rsid w:val="001546EA"/>
    <w:rsid w:val="001554E7"/>
    <w:rsid w:val="001637E5"/>
    <w:rsid w:val="00196E56"/>
    <w:rsid w:val="002479DD"/>
    <w:rsid w:val="00257088"/>
    <w:rsid w:val="002C01C4"/>
    <w:rsid w:val="002E173F"/>
    <w:rsid w:val="00315C09"/>
    <w:rsid w:val="00357DE0"/>
    <w:rsid w:val="00384C00"/>
    <w:rsid w:val="003F3444"/>
    <w:rsid w:val="00402AB6"/>
    <w:rsid w:val="00412A04"/>
    <w:rsid w:val="00452BAE"/>
    <w:rsid w:val="004B372D"/>
    <w:rsid w:val="004E741A"/>
    <w:rsid w:val="004F37DE"/>
    <w:rsid w:val="00530E52"/>
    <w:rsid w:val="005E2D53"/>
    <w:rsid w:val="005E4E58"/>
    <w:rsid w:val="005F10C0"/>
    <w:rsid w:val="00623869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62173"/>
    <w:rsid w:val="00874C69"/>
    <w:rsid w:val="00883634"/>
    <w:rsid w:val="008A4638"/>
    <w:rsid w:val="008C21CC"/>
    <w:rsid w:val="008D2638"/>
    <w:rsid w:val="008F2149"/>
    <w:rsid w:val="00942589"/>
    <w:rsid w:val="00944467"/>
    <w:rsid w:val="009662E3"/>
    <w:rsid w:val="009827C9"/>
    <w:rsid w:val="009A34C5"/>
    <w:rsid w:val="009A4E4D"/>
    <w:rsid w:val="009C28B0"/>
    <w:rsid w:val="009C4C95"/>
    <w:rsid w:val="009C6C7F"/>
    <w:rsid w:val="00AD3FFE"/>
    <w:rsid w:val="00B2046D"/>
    <w:rsid w:val="00B76B6A"/>
    <w:rsid w:val="00B802D2"/>
    <w:rsid w:val="00B96084"/>
    <w:rsid w:val="00BC5C4C"/>
    <w:rsid w:val="00BC7C98"/>
    <w:rsid w:val="00C0182D"/>
    <w:rsid w:val="00C11EC1"/>
    <w:rsid w:val="00C5046E"/>
    <w:rsid w:val="00C611F9"/>
    <w:rsid w:val="00CA69E4"/>
    <w:rsid w:val="00CF5E46"/>
    <w:rsid w:val="00D15C73"/>
    <w:rsid w:val="00D32040"/>
    <w:rsid w:val="00DA3A73"/>
    <w:rsid w:val="00DB7CF6"/>
    <w:rsid w:val="00DC4499"/>
    <w:rsid w:val="00E04D15"/>
    <w:rsid w:val="00E23E48"/>
    <w:rsid w:val="00E6281A"/>
    <w:rsid w:val="00E64520"/>
    <w:rsid w:val="00E81B12"/>
    <w:rsid w:val="00EA245E"/>
    <w:rsid w:val="00EE1EE1"/>
    <w:rsid w:val="00EE4ECC"/>
    <w:rsid w:val="00EE7B55"/>
    <w:rsid w:val="00F36FC4"/>
    <w:rsid w:val="00F3749D"/>
    <w:rsid w:val="00F76EAE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4C69"/>
    <w:rPr>
      <w:color w:val="605E5C"/>
      <w:shd w:val="clear" w:color="auto" w:fill="E1DFDD"/>
    </w:rPr>
  </w:style>
  <w:style w:type="table" w:styleId="GridTable5Dark-Accent5">
    <w:name w:val="Grid Table 5 Dark Accent 5"/>
    <w:basedOn w:val="TableNormal"/>
    <w:uiPriority w:val="50"/>
    <w:rsid w:val="002570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2570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">
    <w:name w:val="Grid Table 5 Dark"/>
    <w:basedOn w:val="TableNormal"/>
    <w:uiPriority w:val="50"/>
    <w:rsid w:val="002570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2570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.rsc.org/resources/explaining-our-health-and-safety-guidance/1752.artic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tqe2g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uSaQuW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7E36D-882A-4B54-B6A3-009F19A8A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Sulfate and carbonate solubility of Groups 1 and 2 - student sheet</vt:lpstr>
    </vt:vector>
  </TitlesOfParts>
  <Company>Royal Society Of Chemistry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Sulfate and carbonate solubility of Groups 1 and 2 - teacher notes</dc:title>
  <dc:subject>Use these teacher notes with the accompanying student handout to conduct a microscale investigation of the properties of elements in Groups 1 and 2.</dc:subject>
  <dc:creator>Royal Society of Chemistry</dc:creator>
  <cp:keywords/>
  <dc:description/>
  <cp:lastModifiedBy>Chris Runciman</cp:lastModifiedBy>
  <cp:revision>14</cp:revision>
  <dcterms:created xsi:type="dcterms:W3CDTF">2021-05-04T10:13:00Z</dcterms:created>
  <dcterms:modified xsi:type="dcterms:W3CDTF">2021-06-28T07:37:00Z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