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829BC" w14:textId="0F657974" w:rsidR="004D19F9" w:rsidRDefault="00373974" w:rsidP="00A42AAE">
      <w:pPr>
        <w:pStyle w:val="Heading1"/>
        <w:spacing w:before="0" w:after="500"/>
        <w:ind w:right="-851"/>
        <w:rPr>
          <w:rFonts w:ascii="Century Gothic" w:hAnsi="Century Gothic"/>
          <w:b/>
          <w:bCs/>
          <w:color w:val="DA1884"/>
          <w:sz w:val="36"/>
          <w:szCs w:val="36"/>
        </w:rPr>
      </w:pPr>
      <w:bookmarkStart w:id="0" w:name="_Hlk72760432"/>
      <w:bookmarkEnd w:id="0"/>
      <w:r>
        <w:rPr>
          <w:rFonts w:ascii="Century Gothic" w:hAnsi="Century Gothic"/>
          <w:b/>
          <w:bCs/>
          <w:color w:val="DA1884"/>
          <w:sz w:val="36"/>
          <w:szCs w:val="36"/>
        </w:rPr>
        <w:t xml:space="preserve">Llaw frawychus </w:t>
      </w:r>
    </w:p>
    <w:p w14:paraId="60C9D7EF" w14:textId="00FC1068" w:rsidR="00F62DA8" w:rsidRPr="00A42AAE" w:rsidRDefault="00373974" w:rsidP="00A42AAE">
      <w:pPr>
        <w:pStyle w:val="Heading1"/>
        <w:spacing w:before="0" w:after="100"/>
        <w:ind w:right="-851"/>
        <w:rPr>
          <w:rFonts w:ascii="Century Gothic" w:hAnsi="Century Gothic"/>
          <w:b/>
          <w:bCs/>
          <w:color w:val="DA1884"/>
          <w:sz w:val="36"/>
          <w:szCs w:val="36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 xml:space="preserve">Arddangosiad y llaw frawychus: 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Gallwch weld fideo arddangos ar </w:t>
      </w:r>
      <w:hyperlink r:id="rId8" w:history="1">
        <w:r w:rsidR="00E146D2" w:rsidRPr="001843D7">
          <w:rPr>
            <w:rStyle w:val="Hyperlink"/>
            <w:rFonts w:ascii="Century Gothic" w:hAnsi="Century Gothic"/>
            <w:sz w:val="22"/>
            <w:szCs w:val="22"/>
          </w:rPr>
          <w:t>https://rsc.li/3rXlW1a</w:t>
        </w:r>
      </w:hyperlink>
      <w:r w:rsidR="00E146D2">
        <w:rPr>
          <w:rFonts w:ascii="Century Gothic" w:hAnsi="Century Gothic"/>
          <w:color w:val="auto"/>
          <w:sz w:val="22"/>
          <w:szCs w:val="22"/>
        </w:rPr>
        <w:t xml:space="preserve"> </w:t>
      </w:r>
    </w:p>
    <w:p w14:paraId="651C019B" w14:textId="733C0502" w:rsidR="00B24CCE" w:rsidRPr="00C74A38" w:rsidRDefault="00B24CCE" w:rsidP="00A05BB4">
      <w:pPr>
        <w:rPr>
          <w:rFonts w:ascii="Century Gothic" w:hAnsi="Century Gothic"/>
        </w:rPr>
      </w:pPr>
      <w:r>
        <w:rPr>
          <w:rFonts w:ascii="Century Gothic" w:hAnsi="Century Gothic"/>
        </w:rPr>
        <w:t>Mae’r ymchwiliad yn galluogi'r dysgwyr i weld y ffordd mae nwyon yn ehangu yn ogystal â galluogi trafodaeth am newidiadau y gellir eu dadwneud a rhai na ellir eu dadwneud.</w:t>
      </w:r>
    </w:p>
    <w:p w14:paraId="20532965" w14:textId="00424241" w:rsidR="00A40633" w:rsidRDefault="00A40633" w:rsidP="00E21353">
      <w:pPr>
        <w:pStyle w:val="Heading2"/>
        <w:spacing w:before="300" w:after="160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 xml:space="preserve">Grŵp oedran: </w:t>
      </w:r>
      <w:r>
        <w:rPr>
          <w:rFonts w:ascii="Century Gothic" w:hAnsi="Century Gothic"/>
          <w:color w:val="000000" w:themeColor="text1"/>
          <w:sz w:val="22"/>
          <w:szCs w:val="22"/>
        </w:rPr>
        <w:t>9-11</w:t>
      </w:r>
    </w:p>
    <w:p w14:paraId="019D27B5" w14:textId="0D9FB931" w:rsidR="00FE1110" w:rsidRPr="00F13419" w:rsidRDefault="00B50C13" w:rsidP="00E21353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>Amcanion dysgu</w:t>
      </w:r>
    </w:p>
    <w:p w14:paraId="78620742" w14:textId="6D2BD01E" w:rsidR="00373974" w:rsidRPr="00373974" w:rsidRDefault="00373974" w:rsidP="00373974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Disgrifio’r gwahaniaeth rhwng newid y gellir ei ddadwneud a newid na ellir ei ddadwneud.</w:t>
      </w:r>
    </w:p>
    <w:p w14:paraId="7331628B" w14:textId="069CC94F" w:rsidR="00373974" w:rsidRDefault="00373974" w:rsidP="00373974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Egluro sut y gall cymysgu rhai deunyddiau arwain at greu rhai newydd (yn yr achos hwn, carbon deuocsid yw un o’r rhain) ac nad oes modd dadwneud y math hwn o newid.</w:t>
      </w:r>
    </w:p>
    <w:p w14:paraId="47E37E51" w14:textId="5C482440" w:rsidR="002E6D6F" w:rsidRDefault="002E6D6F" w:rsidP="00373974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Deall bod nwyon yn ehangu i lenwi eu cynhwysydd.</w:t>
      </w:r>
    </w:p>
    <w:p w14:paraId="56A3A28A" w14:textId="56EA7F75" w:rsidR="002E6D6F" w:rsidRPr="002E6D6F" w:rsidRDefault="002E6D6F" w:rsidP="002E6D6F">
      <w:pPr>
        <w:rPr>
          <w:rFonts w:ascii="Century Gothic" w:hAnsi="Century Gothic"/>
        </w:rPr>
      </w:pPr>
      <w:r>
        <w:rPr>
          <w:rFonts w:ascii="Century Gothic" w:hAnsi="Century Gothic"/>
        </w:rPr>
        <w:t>Sgiliau ymholi:</w:t>
      </w:r>
    </w:p>
    <w:p w14:paraId="0117FA0F" w14:textId="156399CE" w:rsidR="00373974" w:rsidRPr="00373974" w:rsidRDefault="00373974" w:rsidP="00373974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Gallu defnyddio’r canlyniadau i wneud rhagfynegiadau er mwyn cynnal rhagor o brofion cymharol a theg.</w:t>
      </w:r>
    </w:p>
    <w:p w14:paraId="2C3A25D2" w14:textId="0504BEF9" w:rsidR="00A05BB4" w:rsidRPr="00F13419" w:rsidRDefault="002776A1" w:rsidP="00BC2C4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>Gwyddoniaeth gefndirol</w:t>
      </w:r>
    </w:p>
    <w:p w14:paraId="0277A2AF" w14:textId="299B7BC6" w:rsidR="00373974" w:rsidRPr="00373974" w:rsidRDefault="002E6D6F" w:rsidP="00373974">
      <w:pPr>
        <w:rPr>
          <w:rFonts w:ascii="Century Gothic" w:hAnsi="Century Gothic"/>
        </w:rPr>
      </w:pPr>
      <w:r>
        <w:rPr>
          <w:rFonts w:ascii="Century Gothic" w:hAnsi="Century Gothic"/>
        </w:rPr>
        <w:t>Efallai y bydd y dysgwyr yn gwybod mai carbon deuocsid (CO</w:t>
      </w:r>
      <w:r>
        <w:rPr>
          <w:rFonts w:ascii="Century Gothic" w:hAnsi="Century Gothic"/>
          <w:vertAlign w:val="subscript"/>
        </w:rPr>
        <w:t>2</w:t>
      </w:r>
      <w:r>
        <w:rPr>
          <w:rFonts w:ascii="Century Gothic" w:hAnsi="Century Gothic"/>
        </w:rPr>
        <w:t>) yw’r nwy mewn diodydd pop.</w:t>
      </w:r>
    </w:p>
    <w:p w14:paraId="63939B7D" w14:textId="789B17EA" w:rsidR="00A328BA" w:rsidRDefault="00373974" w:rsidP="00373974">
      <w:pPr>
        <w:rPr>
          <w:rFonts w:ascii="Century Gothic" w:hAnsi="Century Gothic"/>
        </w:rPr>
      </w:pPr>
      <w:r>
        <w:rPr>
          <w:rFonts w:ascii="Century Gothic" w:hAnsi="Century Gothic"/>
        </w:rPr>
        <w:t>Mae carbon deuocsid yn cael ei ddefnyddio mewn nifer o ddiwydiannau. Er enghraifft:</w:t>
      </w:r>
    </w:p>
    <w:p w14:paraId="35D8291E" w14:textId="5222F4C8" w:rsidR="00373974" w:rsidRPr="00373974" w:rsidRDefault="00373974" w:rsidP="00373974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Mewn becysiau, mae </w:t>
      </w:r>
      <w:r>
        <w:rPr>
          <w:rFonts w:ascii="Century Gothic" w:hAnsi="Century Gothic"/>
          <w:b/>
          <w:bCs/>
        </w:rPr>
        <w:t>burum pobi</w:t>
      </w:r>
      <w:r>
        <w:rPr>
          <w:rFonts w:ascii="Century Gothic" w:hAnsi="Century Gothic"/>
        </w:rPr>
        <w:t xml:space="preserve"> yn cynhyrchu CO</w:t>
      </w:r>
      <w:r>
        <w:rPr>
          <w:rFonts w:ascii="Century Gothic" w:hAnsi="Century Gothic"/>
          <w:vertAlign w:val="subscript"/>
        </w:rPr>
        <w:t>2</w:t>
      </w:r>
      <w:r>
        <w:rPr>
          <w:rFonts w:ascii="Century Gothic" w:hAnsi="Century Gothic"/>
        </w:rPr>
        <w:t xml:space="preserve"> yn sgil eplesiad y siwgr yn y toes, sy’n helpu’r bara i godi.</w:t>
      </w:r>
    </w:p>
    <w:p w14:paraId="40AE2BE8" w14:textId="716BA3F7" w:rsidR="00373974" w:rsidRPr="00373974" w:rsidRDefault="00373974" w:rsidP="00373974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Mae gan </w:t>
      </w:r>
      <w:r>
        <w:rPr>
          <w:rFonts w:ascii="Century Gothic" w:hAnsi="Century Gothic"/>
          <w:b/>
          <w:bCs/>
        </w:rPr>
        <w:t>gandi popio</w:t>
      </w:r>
      <w:r>
        <w:rPr>
          <w:rFonts w:ascii="Century Gothic" w:hAnsi="Century Gothic"/>
        </w:rPr>
        <w:t xml:space="preserve"> nwy carbon deuocsid dan wasgedd yn y candi. Pan fydd y candi’n toddi, mae’n ‘popian’ wrth fyrstio yn eich ceg.</w:t>
      </w:r>
    </w:p>
    <w:p w14:paraId="7E8B776D" w14:textId="2C3C6FE1" w:rsidR="00373974" w:rsidRDefault="00373974" w:rsidP="00373974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Mae </w:t>
      </w:r>
      <w:r>
        <w:rPr>
          <w:rFonts w:ascii="Century Gothic" w:hAnsi="Century Gothic"/>
          <w:b/>
          <w:bCs/>
        </w:rPr>
        <w:t>diffoddyddion tân</w:t>
      </w:r>
      <w:r>
        <w:rPr>
          <w:rFonts w:ascii="Century Gothic" w:hAnsi="Century Gothic"/>
        </w:rPr>
        <w:t>, yn enwedig y rhai a ddefnyddir ar gyfer tanau trydanol, yn defnyddio carbon deuocsid dan wasgedd i ddiffodd y fflamau.</w:t>
      </w:r>
    </w:p>
    <w:p w14:paraId="6A7C5DD7" w14:textId="53B6843F" w:rsidR="00373974" w:rsidRDefault="00373974" w:rsidP="00373974">
      <w:pPr>
        <w:rPr>
          <w:rFonts w:ascii="Century Gothic" w:hAnsi="Century Gothic"/>
        </w:rPr>
      </w:pPr>
      <w:r>
        <w:rPr>
          <w:rFonts w:ascii="Century Gothic" w:hAnsi="Century Gothic"/>
        </w:rPr>
        <w:t>Pan fydd soda pobi yn cymysgu gyda finegr, mae adwaith cemegol sy’n cynhyrchu deunyddiau newydd, gan gynnwys carbon deuocsid. Mae’r nwy’n ehangu a bydd yn ymledu drwy’r cynhwysydd cyfan. Os na all ddianc, wrth i fwy o nwy gael ei greu, mae’r pwysedd (y gwthiant ar rannau o’r cynhwysydd) yn cynyddu. (Gall hyn fod yn ddigon i fyrstio’r cynhwysydd.)</w:t>
      </w:r>
    </w:p>
    <w:p w14:paraId="30C0E73F" w14:textId="1A0682A3" w:rsidR="00A328BA" w:rsidRPr="00F13419" w:rsidRDefault="00CF6C07" w:rsidP="00BC2C4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>Dysgu blaenorol</w:t>
      </w:r>
    </w:p>
    <w:p w14:paraId="6D5C18D4" w14:textId="737A94F6" w:rsidR="00373974" w:rsidRPr="00373974" w:rsidRDefault="002E6D6F" w:rsidP="0037397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Rhaid i ddysgwyr fod â dealltwriaeth o briodweddau solidau, hylifau a nwyon ac ymddygiad eu moleciwlau ym mhob cyflwr. </w:t>
      </w:r>
    </w:p>
    <w:p w14:paraId="23C4000D" w14:textId="1BFC3836" w:rsidR="000B0538" w:rsidRDefault="00E25CFC" w:rsidP="00373974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Rhaid i ddysgwyr hefyd fod wedi ymchwilio i newidiadau y gellir eu dadwneud a gallu rhoi enghreifftiau o newidiadau o’r fath.</w:t>
      </w:r>
    </w:p>
    <w:p w14:paraId="700E568D" w14:textId="77777777" w:rsidR="008875D8" w:rsidRPr="00F13419" w:rsidRDefault="008875D8" w:rsidP="008875D8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>Dolenni</w:t>
      </w:r>
    </w:p>
    <w:p w14:paraId="711B45A6" w14:textId="53FB3419" w:rsidR="008875D8" w:rsidRPr="00E9666F" w:rsidRDefault="008875D8" w:rsidP="008875D8">
      <w:pPr>
        <w:rPr>
          <w:rFonts w:ascii="Century Gothic" w:hAnsi="Century Gothic"/>
        </w:rPr>
      </w:pPr>
      <w:r>
        <w:rPr>
          <w:rFonts w:ascii="Century Gothic" w:hAnsi="Century Gothic"/>
        </w:rPr>
        <w:t>Mae creu carbon deuocsid gan ddefnyddio’r cynhwysion hyn hefyd yn cael ei ddefnyddio yn ymchwiliadau’r</w:t>
      </w:r>
      <w:r>
        <w:t xml:space="preserve"> </w:t>
      </w:r>
      <w:hyperlink r:id="rId9" w:history="1">
        <w:r>
          <w:rPr>
            <w:rStyle w:val="Hyperlink"/>
            <w:rFonts w:ascii="Century Gothic" w:hAnsi="Century Gothic"/>
          </w:rPr>
          <w:t>Bomiau bath</w:t>
        </w:r>
      </w:hyperlink>
      <w:r>
        <w:t xml:space="preserve"> </w:t>
      </w:r>
      <w:r>
        <w:rPr>
          <w:rFonts w:ascii="Century Gothic" w:hAnsi="Century Gothic"/>
        </w:rPr>
        <w:t>a</w:t>
      </w:r>
      <w:r>
        <w:t xml:space="preserve"> </w:t>
      </w:r>
      <w:hyperlink r:id="rId10" w:history="1">
        <w:r>
          <w:rPr>
            <w:rStyle w:val="Hyperlink"/>
            <w:rFonts w:ascii="Century Gothic" w:hAnsi="Century Gothic"/>
          </w:rPr>
          <w:t>Lamp lafa</w:t>
        </w:r>
      </w:hyperlink>
      <w:r>
        <w:rPr>
          <w:rFonts w:ascii="Century Gothic" w:hAnsi="Century Gothic"/>
        </w:rPr>
        <w:t xml:space="preserve">. Gellir diffodd fflam sy'n defnyddio carbon deuocsid yn y </w:t>
      </w:r>
      <w:hyperlink r:id="rId11" w:history="1">
        <w:r>
          <w:rPr>
            <w:rStyle w:val="Hyperlink"/>
            <w:rFonts w:ascii="Century Gothic" w:hAnsi="Century Gothic"/>
          </w:rPr>
          <w:t>Diffoddydd tân</w:t>
        </w:r>
      </w:hyperlink>
      <w:r>
        <w:t>.</w:t>
      </w:r>
    </w:p>
    <w:p w14:paraId="3142BD47" w14:textId="247B05AC" w:rsidR="000B0538" w:rsidRPr="00F13419" w:rsidRDefault="000B0538" w:rsidP="00BC2C4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>Geiriau a diffiniadau allweddol</w:t>
      </w:r>
    </w:p>
    <w:p w14:paraId="2E9A5197" w14:textId="3605227F" w:rsidR="00373974" w:rsidRPr="00373974" w:rsidRDefault="00E25CFC" w:rsidP="00373974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Newid y gellir ei ddadwneud</w:t>
      </w:r>
      <w:r>
        <w:rPr>
          <w:rFonts w:ascii="Century Gothic" w:hAnsi="Century Gothic"/>
        </w:rPr>
        <w:t xml:space="preserve"> – newid lle nad oes unrhyw ddeunyddiau newydd yn cael eu creu a lle bydd modd adfer y deunydd gwreiddiol. Mae’r enghreifftiau yn cynnwys toddi, anweddu, rhewi a hydoddi.</w:t>
      </w:r>
    </w:p>
    <w:p w14:paraId="2B7FD2FB" w14:textId="7E09226C" w:rsidR="00373974" w:rsidRPr="00373974" w:rsidRDefault="00E25CFC" w:rsidP="00373974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Newid na ellir ei ddadwneud</w:t>
      </w:r>
      <w:r>
        <w:rPr>
          <w:rFonts w:ascii="Century Gothic" w:hAnsi="Century Gothic"/>
        </w:rPr>
        <w:t xml:space="preserve"> - newid cemegol lle mae deunyddiau newydd yn cael eu ffurfio.</w:t>
      </w:r>
    </w:p>
    <w:p w14:paraId="2B05F0CA" w14:textId="3F7A8398" w:rsidR="00373974" w:rsidRPr="00373974" w:rsidRDefault="00373974" w:rsidP="00373974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Ehangu</w:t>
      </w:r>
      <w:r>
        <w:rPr>
          <w:rFonts w:ascii="Century Gothic" w:hAnsi="Century Gothic"/>
        </w:rPr>
        <w:t xml:space="preserve"> - symud ar wahân neu fynd yn fwy.</w:t>
      </w:r>
    </w:p>
    <w:p w14:paraId="5E0296E4" w14:textId="45A0C236" w:rsidR="00373974" w:rsidRPr="00373974" w:rsidRDefault="00373974" w:rsidP="00373974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Nwy</w:t>
      </w:r>
      <w:r>
        <w:rPr>
          <w:rFonts w:ascii="Century Gothic" w:hAnsi="Century Gothic"/>
        </w:rPr>
        <w:t xml:space="preserve"> - ‘cyflwr mater’ lle mae gronynnau yn llawn ynni a gofodau mawr rhyngddynt. Mae nwy’n cymryd siâp y cynhwysydd y mae ynddo a bydd yn llifo.</w:t>
      </w:r>
    </w:p>
    <w:p w14:paraId="1C5BA079" w14:textId="5DB92B0A" w:rsidR="00373974" w:rsidRDefault="00373974" w:rsidP="00373974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Newidyn</w:t>
      </w:r>
      <w:r>
        <w:rPr>
          <w:rFonts w:ascii="Century Gothic" w:hAnsi="Century Gothic"/>
        </w:rPr>
        <w:t xml:space="preserve"> - cyflwr neu wrthrych sy’n cael ei arsylwi neu ei fesur ac a allai newid yn ystod arbrawf gwyddonol, ee tymheredd neu faint y sylwedd. </w:t>
      </w:r>
    </w:p>
    <w:p w14:paraId="1AF9603D" w14:textId="2B44DFC8" w:rsidR="00EA1870" w:rsidRPr="004B418D" w:rsidRDefault="00EA1870" w:rsidP="00EA1870">
      <w:pPr>
        <w:spacing w:after="100"/>
        <w:rPr>
          <w:rFonts w:ascii="Century Gothic" w:hAnsi="Century Gothic"/>
        </w:rPr>
      </w:pPr>
      <w:bookmarkStart w:id="1" w:name="_Hlk72229000"/>
      <w:r>
        <w:rPr>
          <w:rFonts w:ascii="Century Gothic" w:hAnsi="Century Gothic"/>
        </w:rPr>
        <w:t>Efallai y bydd athrawon yn dymuno cuddio’r ystyron/enghreifftiau ar y sleid PowerPoint a thrafod syniadau’r dysgwyr yn gyntaf.</w:t>
      </w:r>
    </w:p>
    <w:bookmarkEnd w:id="1"/>
    <w:p w14:paraId="4EC9DB6E" w14:textId="7F1CEDA4" w:rsidR="00D75FB0" w:rsidRPr="00F13419" w:rsidRDefault="00D75FB0" w:rsidP="002D31A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>Rhestr offer</w:t>
      </w:r>
    </w:p>
    <w:p w14:paraId="7FA23976" w14:textId="459C715C" w:rsidR="00801FFE" w:rsidRPr="00112760" w:rsidRDefault="00373974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Menig latecs untro (peidiwch â defnyddio menig golchi llestri) *alergeddau</w:t>
      </w:r>
    </w:p>
    <w:p w14:paraId="25C7BA99" w14:textId="04D99D91" w:rsidR="00373974" w:rsidRPr="00373974" w:rsidRDefault="00D86F7D" w:rsidP="00373974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 wp14:anchorId="2436379C" wp14:editId="6B0797BC">
            <wp:simplePos x="0" y="0"/>
            <wp:positionH relativeFrom="column">
              <wp:posOffset>4476750</wp:posOffset>
            </wp:positionH>
            <wp:positionV relativeFrom="paragraph">
              <wp:posOffset>127000</wp:posOffset>
            </wp:positionV>
            <wp:extent cx="1638000" cy="1231200"/>
            <wp:effectExtent l="0" t="0" r="635" b="7620"/>
            <wp:wrapTight wrapText="bothSides">
              <wp:wrapPolygon edited="0">
                <wp:start x="0" y="0"/>
                <wp:lineTo x="0" y="21399"/>
                <wp:lineTo x="21357" y="21399"/>
                <wp:lineTo x="213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00" cy="12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</w:rPr>
        <w:t>Soda pobi</w:t>
      </w:r>
    </w:p>
    <w:p w14:paraId="7A4E5659" w14:textId="7EFA90DC" w:rsidR="00373974" w:rsidRPr="00373974" w:rsidRDefault="00373974" w:rsidP="00373974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Finegr</w:t>
      </w:r>
    </w:p>
    <w:p w14:paraId="2A537B36" w14:textId="0191FCF7" w:rsidR="00373974" w:rsidRPr="00373974" w:rsidRDefault="00373974" w:rsidP="00373974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Llwy de</w:t>
      </w:r>
    </w:p>
    <w:p w14:paraId="5FAA893A" w14:textId="458F782F" w:rsidR="00373974" w:rsidRDefault="00373974" w:rsidP="00373974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Jar jam bach, cwpan neu ficer (dylai’r gwddf fod yn ddigon llydan i greu sêl dynn gyda’r menig) </w:t>
      </w:r>
    </w:p>
    <w:p w14:paraId="02EB20AF" w14:textId="2297E6CE" w:rsidR="00373974" w:rsidRDefault="00373974" w:rsidP="00373974">
      <w:pPr>
        <w:rPr>
          <w:rFonts w:ascii="Century Gothic" w:hAnsi="Century Gothic"/>
        </w:rPr>
      </w:pPr>
      <w:r>
        <w:rPr>
          <w:rFonts w:ascii="Century Gothic" w:hAnsi="Century Gothic"/>
        </w:rPr>
        <w:t>Bydd modd cael gafael ar fenig latecs yn y rhan fwyaf o archfarchnadoedd. Fodd bynnag, gallwch hefyd ddod o hyd i fenig meddygol mewn fferyllfeydd a chan gyflenwyr ysgol ac ar-lein. Os oes gan rai o’ch dysgwyr alergedd i latecs, defnyddiwch fenig Nitril neu PVC. Peidiwch â defnyddio menig golchi llestri - maen nhw’n rhy drwm i’r arbrawf weithio’n effeithiol.</w:t>
      </w:r>
    </w:p>
    <w:p w14:paraId="7A234555" w14:textId="67C33322" w:rsidR="00B07CD0" w:rsidRPr="00F13419" w:rsidRDefault="00B07CD0" w:rsidP="002D31A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lastRenderedPageBreak/>
        <w:t>Dull</w:t>
      </w:r>
    </w:p>
    <w:p w14:paraId="54ED0542" w14:textId="745BB3EA" w:rsidR="00EA1870" w:rsidRPr="00F56FB0" w:rsidRDefault="00D86F7D" w:rsidP="00EA1870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650F6CED" wp14:editId="1D54F179">
            <wp:simplePos x="0" y="0"/>
            <wp:positionH relativeFrom="margin">
              <wp:posOffset>4476750</wp:posOffset>
            </wp:positionH>
            <wp:positionV relativeFrom="paragraph">
              <wp:posOffset>532765</wp:posOffset>
            </wp:positionV>
            <wp:extent cx="1638000" cy="1231200"/>
            <wp:effectExtent l="0" t="0" r="63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00" cy="12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</w:rPr>
        <w:t>Mae’r arbrawf hwn yn hen dric parti y gallai dysgwyr fod wedi’i weld o’r blaen. Cyn gadael iddynt weld y llaw frawychus, gofynnwch i’r dysgwyr ddarogan beth fydd yn digwydd pan fydd y finegr a’r soda pobi yn cymysgu gyda’i gilydd.</w:t>
      </w:r>
    </w:p>
    <w:p w14:paraId="15E4507F" w14:textId="0E6BDEC7" w:rsidR="00B84A3D" w:rsidRPr="0067506A" w:rsidRDefault="00E25CFC" w:rsidP="00585D22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</w:rPr>
        <w:t>Dechreuwch gydag arddangosiad:</w:t>
      </w:r>
    </w:p>
    <w:p w14:paraId="50624110" w14:textId="0FEF5A7E" w:rsidR="00373974" w:rsidRPr="00373974" w:rsidRDefault="00373974" w:rsidP="00373974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Rhowch oddeutu 60 ml o finegr (tua ¼ cwpan) yn y jar.</w:t>
      </w:r>
    </w:p>
    <w:p w14:paraId="667E9242" w14:textId="073804C0" w:rsidR="00236C82" w:rsidRDefault="00373974" w:rsidP="00373974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Rhowch ddwy lwy de orlawn (~15 g) o soda pobi ym mysedd y menig. </w:t>
      </w:r>
    </w:p>
    <w:p w14:paraId="15639376" w14:textId="2844CE9E" w:rsidR="00236C82" w:rsidRPr="00112760" w:rsidRDefault="00373974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Rhowch waelod y faneg yn ofalus dros y jar. Peidiwch â gollwng unrhyw bowdr i mewn i’r jar a gwnewch yn siŵr bod y faneg yn ffitio’n dynn dros y jar.</w:t>
      </w:r>
    </w:p>
    <w:p w14:paraId="786D5505" w14:textId="5EC07144" w:rsidR="00236C82" w:rsidRDefault="00236C82" w:rsidP="00112760">
      <w:pPr>
        <w:ind w:left="360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3939E6AF" wp14:editId="144E269D">
            <wp:extent cx="1418269" cy="1065237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991" cy="106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16"/>
          <w:szCs w:val="16"/>
        </w:rPr>
        <w:t xml:space="preserve"> </w:t>
      </w:r>
    </w:p>
    <w:p w14:paraId="42DC7B02" w14:textId="77777777" w:rsidR="00236C82" w:rsidRDefault="00373974" w:rsidP="00373974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Arllwyswch y powdwr o’r faneg i mewn i’r jar. Efallai y bydd angen i chi ysgwyd pob bys i ryddhau'r powdr.</w:t>
      </w:r>
    </w:p>
    <w:p w14:paraId="7B8614FA" w14:textId="17C63464" w:rsidR="00373974" w:rsidRDefault="00236C82" w:rsidP="00112760">
      <w:pPr>
        <w:pStyle w:val="ListParagraph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>
        <w:rPr>
          <w:noProof/>
        </w:rPr>
        <w:drawing>
          <wp:inline distT="0" distB="0" distL="0" distR="0" wp14:anchorId="01D37E82" wp14:editId="29A8F48E">
            <wp:extent cx="1407409" cy="1057081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24" cy="10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> </w:t>
      </w:r>
    </w:p>
    <w:p w14:paraId="69AFECCF" w14:textId="0435A320" w:rsidR="001611CD" w:rsidRPr="001611CD" w:rsidRDefault="00236C82" w:rsidP="001611C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4AB009C0" wp14:editId="50632EB9">
            <wp:simplePos x="0" y="0"/>
            <wp:positionH relativeFrom="margin">
              <wp:align>right</wp:align>
            </wp:positionH>
            <wp:positionV relativeFrom="paragraph">
              <wp:posOffset>59690</wp:posOffset>
            </wp:positionV>
            <wp:extent cx="1908810" cy="1432560"/>
            <wp:effectExtent l="0" t="9525" r="5715" b="57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881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</w:rPr>
        <w:t xml:space="preserve">Dylai’r faneg chwyddo’n araf wrth i nwy carbon deuocsid gael ei gynhyrchu o’r adwaith cemegol rhwng y finegr a'r soda pobi. </w:t>
      </w:r>
    </w:p>
    <w:p w14:paraId="2958ED2D" w14:textId="73A6A991" w:rsidR="00801FFE" w:rsidRPr="001611CD" w:rsidRDefault="001611CD" w:rsidP="001611CD">
      <w:pPr>
        <w:rPr>
          <w:rFonts w:ascii="Century Gothic" w:hAnsi="Century Gothic"/>
        </w:rPr>
      </w:pPr>
      <w:r>
        <w:rPr>
          <w:rFonts w:ascii="Century Gothic" w:hAnsi="Century Gothic"/>
        </w:rPr>
        <w:t>SYLWER: Yn dibynnu ar faint y jar, efallai y bydd angen i chi arbrofi drwy ychwanegu mwy neu lai o bob sylwedd. Os ydych chi’n ychwanegu gormod o bob sylwedd, gallai’r nwy achosi gymaint o bwysedd y tu mewn i’r faneg nes iddi fyrstio i ffwrdd o’r jar.  Os nad oes gennych ddigon o bob sylwedd, efallai na fydd digon o nwy’n cael ei gynhyrchu i chwyddo’r faneg.</w:t>
      </w:r>
    </w:p>
    <w:p w14:paraId="08F130C6" w14:textId="52180CA5" w:rsidR="001611CD" w:rsidRDefault="001611CD" w:rsidP="001611CD">
      <w:pPr>
        <w:rPr>
          <w:rFonts w:ascii="Century Gothic" w:hAnsi="Century Gothic"/>
        </w:rPr>
      </w:pPr>
      <w:r>
        <w:rPr>
          <w:rFonts w:ascii="Century Gothic" w:hAnsi="Century Gothic"/>
        </w:rPr>
        <w:t>Mae carbon deuocsid yn cael ei gynhyrchu mewn nifer o adweithiau cemegol bob dydd. Mae tabledi eferw, fel Alka Seltzer neu dabledi fitamin ffisiog (sydd i fod i hydoddi mewn dŵr) hefyd yn cynhyrchu carbon deuocsid a gellir eu defnyddio i chwyddo maneg yn yr un modd.</w:t>
      </w:r>
    </w:p>
    <w:p w14:paraId="3C6D1A3E" w14:textId="6C680428" w:rsidR="00E25CFC" w:rsidRDefault="008F6996" w:rsidP="001611CD">
      <w:pPr>
        <w:rPr>
          <w:rFonts w:ascii="Century Gothic" w:hAnsi="Century Gothic"/>
        </w:rPr>
      </w:pPr>
      <w:r>
        <w:rPr>
          <w:rFonts w:ascii="Century Gothic" w:hAnsi="Century Gothic"/>
        </w:rPr>
        <w:t>Ar ôl gweld yr arddangosiad, gall y dysgwyr drafod a chynllunio eu hymchwiliadau eu hunain.</w:t>
      </w:r>
    </w:p>
    <w:p w14:paraId="0C511DD8" w14:textId="316BBDF3" w:rsidR="001611CD" w:rsidRPr="001611CD" w:rsidRDefault="00E25CFC" w:rsidP="001611CD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Trafodwch gyda nhw pa </w:t>
      </w:r>
      <w:r>
        <w:rPr>
          <w:rFonts w:ascii="Century Gothic" w:hAnsi="Century Gothic"/>
          <w:b/>
          <w:bCs/>
        </w:rPr>
        <w:t>newidynnau</w:t>
      </w:r>
      <w:r>
        <w:rPr>
          <w:rFonts w:ascii="Century Gothic" w:hAnsi="Century Gothic"/>
        </w:rPr>
        <w:t xml:space="preserve"> y gellid eu newid ac ymchwilio iddynt. Er enghraifft, a allai faint o finegr neu soda pobi a ddefnyddir effeithio ar faint o nwy a gynhyrchir? Byddai hwn yn fan cychwyn da ar gyfer cynllunio prawf teg dan arweiniad y disgyblion. Helpwch y dysgwyr i gynnal eu profion eu hunain ar ‘law frawychus’.</w:t>
      </w:r>
    </w:p>
    <w:p w14:paraId="3EE12FDB" w14:textId="0AE10F05" w:rsidR="00CE5A69" w:rsidRPr="00F13419" w:rsidRDefault="00147CF3" w:rsidP="002D31A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>Cwestiynau procio</w:t>
      </w:r>
    </w:p>
    <w:p w14:paraId="369CCF1A" w14:textId="77777777" w:rsidR="00EA1870" w:rsidRDefault="001611CD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Sut ydyn ni’n gwybod bod nwy wedi cael ei greu? </w:t>
      </w:r>
      <w:bookmarkStart w:id="2" w:name="_Hlk72142769"/>
    </w:p>
    <w:p w14:paraId="76E7A4A9" w14:textId="7FA9F805" w:rsidR="00A119A8" w:rsidRPr="00112760" w:rsidRDefault="00A119A8" w:rsidP="00112760">
      <w:pPr>
        <w:pStyle w:val="ListParagraph"/>
        <w:ind w:left="360"/>
        <w:rPr>
          <w:rFonts w:ascii="Century Gothic" w:hAnsi="Century Gothic"/>
        </w:rPr>
      </w:pPr>
      <w:r>
        <w:rPr>
          <w:rFonts w:ascii="Century Gothic" w:hAnsi="Century Gothic"/>
          <w:i/>
          <w:iCs/>
          <w:color w:val="000000" w:themeColor="text1"/>
        </w:rPr>
        <w:t>Pan fyddwch yn ychwanegu’r powdwr, mae’n dechrau ewynnu a ffisian. Bydd y llaw yn dechrau chwyddo.</w:t>
      </w:r>
    </w:p>
    <w:bookmarkEnd w:id="2"/>
    <w:p w14:paraId="26AE0EF8" w14:textId="77777777" w:rsidR="00EA1870" w:rsidRPr="00112760" w:rsidRDefault="001611CD">
      <w:pPr>
        <w:pStyle w:val="ListParagraph"/>
        <w:numPr>
          <w:ilvl w:val="0"/>
          <w:numId w:val="22"/>
        </w:numPr>
        <w:spacing w:after="0" w:line="240" w:lineRule="auto"/>
        <w:rPr>
          <w:rFonts w:ascii="Century Gothic" w:hAnsi="Century Gothic" w:cstheme="minorHAnsi"/>
          <w:i/>
          <w:iCs/>
          <w:color w:val="000000" w:themeColor="text1"/>
        </w:rPr>
      </w:pPr>
      <w:r>
        <w:rPr>
          <w:rFonts w:ascii="Century Gothic" w:hAnsi="Century Gothic"/>
        </w:rPr>
        <w:t xml:space="preserve">Allwch chi weld unrhyw newid i’r hylif? </w:t>
      </w:r>
      <w:bookmarkStart w:id="3" w:name="_Hlk72142789"/>
    </w:p>
    <w:p w14:paraId="110DC9F1" w14:textId="18B95F76" w:rsidR="00A119A8" w:rsidRPr="00112760" w:rsidRDefault="00A119A8" w:rsidP="00112760">
      <w:pPr>
        <w:pStyle w:val="ListParagraph"/>
        <w:spacing w:after="0" w:line="240" w:lineRule="auto"/>
        <w:ind w:left="360"/>
        <w:rPr>
          <w:rFonts w:ascii="Century Gothic" w:hAnsi="Century Gothic" w:cstheme="minorHAnsi"/>
          <w:i/>
          <w:iCs/>
          <w:color w:val="000000" w:themeColor="text1"/>
        </w:rPr>
      </w:pPr>
      <w:r>
        <w:rPr>
          <w:rFonts w:ascii="Century Gothic" w:hAnsi="Century Gothic"/>
          <w:i/>
          <w:iCs/>
          <w:color w:val="000000" w:themeColor="text1"/>
        </w:rPr>
        <w:t xml:space="preserve">Ar ôl iddo roi’r gorau i ewynnu a ffisian, fe welwch fod y finegr yn edrych fel sudd pefriog. Mae hyn oherwydd bod carbon deuocsid yn yr hylif. </w:t>
      </w:r>
    </w:p>
    <w:bookmarkEnd w:id="3"/>
    <w:p w14:paraId="2F64AE0C" w14:textId="33A19A0E" w:rsidR="00EA1870" w:rsidRPr="00112760" w:rsidRDefault="001611CD">
      <w:pPr>
        <w:pStyle w:val="ListParagraph"/>
        <w:numPr>
          <w:ilvl w:val="0"/>
          <w:numId w:val="22"/>
        </w:numPr>
        <w:spacing w:after="0" w:line="240" w:lineRule="auto"/>
        <w:rPr>
          <w:rFonts w:ascii="Century Gothic" w:hAnsi="Century Gothic" w:cstheme="minorHAnsi"/>
          <w:i/>
          <w:iCs/>
          <w:color w:val="000000" w:themeColor="text1"/>
        </w:rPr>
      </w:pPr>
      <w:r>
        <w:rPr>
          <w:rFonts w:ascii="Century Gothic" w:hAnsi="Century Gothic"/>
        </w:rPr>
        <w:t xml:space="preserve">Sut rydyn ni’n gwybod nad yw’n bosibl dadwneud yr adwaith hwn? </w:t>
      </w:r>
    </w:p>
    <w:p w14:paraId="7F70EBF1" w14:textId="36C49A6A" w:rsidR="00A119A8" w:rsidRPr="00112760" w:rsidRDefault="00A119A8" w:rsidP="00112760">
      <w:pPr>
        <w:pStyle w:val="ListParagraph"/>
        <w:spacing w:after="0" w:line="240" w:lineRule="auto"/>
        <w:ind w:left="360"/>
        <w:rPr>
          <w:rFonts w:ascii="Century Gothic" w:hAnsi="Century Gothic" w:cstheme="minorHAnsi"/>
          <w:i/>
          <w:iCs/>
          <w:color w:val="000000" w:themeColor="text1"/>
        </w:rPr>
      </w:pPr>
      <w:r>
        <w:rPr>
          <w:rFonts w:ascii="Century Gothic" w:hAnsi="Century Gothic"/>
          <w:i/>
          <w:iCs/>
          <w:color w:val="000000" w:themeColor="text1"/>
        </w:rPr>
        <w:t>Cynhyrchir deunydd newydd (carbon deuocsid). Ni allwn roi’r carbon deuocsid yn ôl yn y gymysgedd o finegr a soda pobi. Felly, ni allwn ddadwneud yr adwaith.</w:t>
      </w:r>
    </w:p>
    <w:p w14:paraId="78E67E30" w14:textId="77777777" w:rsidR="00EA1870" w:rsidRPr="00112760" w:rsidRDefault="001611CD">
      <w:pPr>
        <w:pStyle w:val="ListParagraph"/>
        <w:numPr>
          <w:ilvl w:val="0"/>
          <w:numId w:val="22"/>
        </w:numPr>
        <w:spacing w:after="0" w:line="240" w:lineRule="auto"/>
        <w:rPr>
          <w:rFonts w:ascii="Century Gothic" w:hAnsi="Century Gothic" w:cstheme="minorHAnsi"/>
          <w:i/>
          <w:iCs/>
          <w:color w:val="000000" w:themeColor="text1"/>
        </w:rPr>
      </w:pPr>
      <w:r>
        <w:rPr>
          <w:rFonts w:ascii="Century Gothic" w:hAnsi="Century Gothic"/>
        </w:rPr>
        <w:t xml:space="preserve">Beth ydych chi’n meddwl fyddai’n digwydd pe baech yn gwanio’r finegr neu’n ychwanegu mwy o soda pobi? </w:t>
      </w:r>
    </w:p>
    <w:p w14:paraId="73E2E43A" w14:textId="529631B6" w:rsidR="00A119A8" w:rsidRPr="00112760" w:rsidRDefault="00A119A8" w:rsidP="00112760">
      <w:pPr>
        <w:pStyle w:val="ListParagraph"/>
        <w:spacing w:after="0" w:line="240" w:lineRule="auto"/>
        <w:ind w:left="360"/>
        <w:rPr>
          <w:rFonts w:ascii="Century Gothic" w:hAnsi="Century Gothic" w:cstheme="minorHAnsi"/>
          <w:i/>
          <w:iCs/>
          <w:color w:val="000000" w:themeColor="text1"/>
        </w:rPr>
      </w:pPr>
      <w:r>
        <w:rPr>
          <w:rFonts w:ascii="Century Gothic" w:hAnsi="Century Gothic"/>
          <w:i/>
          <w:iCs/>
          <w:color w:val="000000" w:themeColor="text1"/>
        </w:rPr>
        <w:t xml:space="preserve">Pe baech yn gwanio’r finegr neu’n newid faint a ddefnyddir, byddech yn cynhyrchu symiau gwahanol o garbon deuocsid. Gallwch brofi hyn drwy ail-gynnal yr arbrawf gyda gwahanol grynodiadau o’r finegr neu gyda mwy neu lai o soda pobi. </w:t>
      </w:r>
    </w:p>
    <w:p w14:paraId="31F4EB35" w14:textId="77777777" w:rsidR="00EA1870" w:rsidRPr="00112760" w:rsidRDefault="001611CD">
      <w:pPr>
        <w:pStyle w:val="ListParagraph"/>
        <w:numPr>
          <w:ilvl w:val="0"/>
          <w:numId w:val="22"/>
        </w:numPr>
        <w:spacing w:after="0" w:line="240" w:lineRule="auto"/>
        <w:rPr>
          <w:rFonts w:ascii="Century Gothic" w:hAnsi="Century Gothic" w:cstheme="minorHAnsi"/>
          <w:i/>
          <w:iCs/>
          <w:color w:val="000000" w:themeColor="text1"/>
        </w:rPr>
      </w:pPr>
      <w:r>
        <w:rPr>
          <w:rFonts w:ascii="Century Gothic" w:hAnsi="Century Gothic"/>
        </w:rPr>
        <w:t xml:space="preserve">Beth ydych chi’n ei ragweld fyddai’n digwydd pe baech chi’n defnyddio maneg fwy trwchus? </w:t>
      </w:r>
    </w:p>
    <w:p w14:paraId="0C499380" w14:textId="10413E04" w:rsidR="00A119A8" w:rsidRPr="00112760" w:rsidRDefault="00A119A8" w:rsidP="00112760">
      <w:pPr>
        <w:pStyle w:val="ListParagraph"/>
        <w:spacing w:after="0" w:line="240" w:lineRule="auto"/>
        <w:ind w:left="360"/>
        <w:rPr>
          <w:rFonts w:ascii="Century Gothic" w:hAnsi="Century Gothic" w:cstheme="minorHAnsi"/>
          <w:i/>
          <w:iCs/>
          <w:color w:val="000000" w:themeColor="text1"/>
        </w:rPr>
      </w:pPr>
      <w:r>
        <w:rPr>
          <w:rFonts w:ascii="Century Gothic" w:hAnsi="Century Gothic"/>
          <w:i/>
          <w:iCs/>
          <w:color w:val="000000" w:themeColor="text1"/>
        </w:rPr>
        <w:t>Gallwch brofi hyn drwy ddefnyddio menig gwahanol. Mae’n haws chwyddo’r faneg denau.</w:t>
      </w:r>
    </w:p>
    <w:p w14:paraId="73DED881" w14:textId="77777777" w:rsidR="00A119A8" w:rsidRPr="00112760" w:rsidRDefault="001611CD" w:rsidP="00112760">
      <w:pPr>
        <w:pStyle w:val="ListParagraph"/>
        <w:numPr>
          <w:ilvl w:val="0"/>
          <w:numId w:val="22"/>
        </w:numPr>
        <w:rPr>
          <w:rFonts w:ascii="Century Gothic" w:hAnsi="Century Gothic" w:cstheme="minorHAnsi"/>
          <w:i/>
          <w:iCs/>
          <w:color w:val="000000" w:themeColor="text1"/>
        </w:rPr>
      </w:pPr>
      <w:r>
        <w:rPr>
          <w:rFonts w:ascii="Century Gothic" w:hAnsi="Century Gothic"/>
        </w:rPr>
        <w:t xml:space="preserve">Ydych chi’n gallu meddwl am unrhyw adweithiau cemegol eraill sy'n cynhyrchu carbon deuocsid? </w:t>
      </w:r>
      <w:r>
        <w:rPr>
          <w:rFonts w:ascii="Century Gothic" w:hAnsi="Century Gothic"/>
          <w:i/>
          <w:iCs/>
          <w:color w:val="000000" w:themeColor="text1"/>
        </w:rPr>
        <w:t xml:space="preserve">Mae adweithiau eraill asidau ac alcalïau yn rhyddhau carbon deuocsid, er enghraifft asid sitrig a soda pobi mewn sierbet. Mae carbon deuocsid hefyd yn cael ei ryddhau wrth losgi tanwyddau ffosil. </w:t>
      </w:r>
    </w:p>
    <w:p w14:paraId="1C54AF3B" w14:textId="5EAC741A" w:rsidR="00E22F57" w:rsidRPr="00F13419" w:rsidRDefault="00E22F57" w:rsidP="000C5CD5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>Cwestiynau Cyffredin</w:t>
      </w:r>
    </w:p>
    <w:p w14:paraId="437ECBF2" w14:textId="3E2FC0D8" w:rsidR="00EA1870" w:rsidRPr="00112760" w:rsidRDefault="001611CD">
      <w:pPr>
        <w:pStyle w:val="ListParagraph"/>
        <w:numPr>
          <w:ilvl w:val="0"/>
          <w:numId w:val="21"/>
        </w:numPr>
        <w:spacing w:after="158"/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 xml:space="preserve">A fydd yr adwaith hwn yn gwneud i wrthrychau eraill chwyddo? </w:t>
      </w:r>
    </w:p>
    <w:p w14:paraId="314C8A8C" w14:textId="38238910" w:rsidR="001611CD" w:rsidRPr="00112760" w:rsidRDefault="001611CD" w:rsidP="00112760">
      <w:pPr>
        <w:pStyle w:val="ListParagraph"/>
        <w:spacing w:after="158"/>
        <w:ind w:left="360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Bydd, gallwch ddefnyddio’r un adwaith cemegol i lenwi balŵn sy’n gorchuddio ceg potel, neu fag plastig wedi’i glymu dros geg jar gyda band elastig. Mae hwn yn gyfle gwych i ddysgwyr ddylunio eu harbrofion eu hunain a phrofi eu sgiliau rhagfynegi ar sail eu gwybodaeth flaenorol.</w:t>
      </w:r>
    </w:p>
    <w:p w14:paraId="02592D61" w14:textId="464E0C5E" w:rsidR="00EA1870" w:rsidRPr="00112760" w:rsidRDefault="001611CD">
      <w:pPr>
        <w:pStyle w:val="ListParagraph"/>
        <w:numPr>
          <w:ilvl w:val="0"/>
          <w:numId w:val="21"/>
        </w:numPr>
        <w:spacing w:after="158"/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 xml:space="preserve">Faint o soda pobi a finegr fyddai ei angen i wneud i’r faneg fyrstio oddi ar y jar? </w:t>
      </w:r>
    </w:p>
    <w:p w14:paraId="6A5E3C97" w14:textId="3C7319BC" w:rsidR="001611CD" w:rsidRPr="00112760" w:rsidRDefault="001611CD" w:rsidP="00112760">
      <w:pPr>
        <w:pStyle w:val="ListParagraph"/>
        <w:spacing w:after="158"/>
        <w:ind w:left="360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Mae hwn yn gwestiwn gwych arall i ddechrau dylunio ymchwiliad pellach gan ddefnyddio profion teg. Bydd angen i ddysgwyr ddefnyddio llawer iawn o adweithyddion i greu digon o bwysedd i’r faneg fyrstio oddi ar y jar.  Fodd bynnag, gallai arwain at ystafell ddosbarth ddrewllyd iawn. Yn bendant, dyma ymchwiliad y dylech ystyried ei gynnal yn yr awyr agored!</w:t>
      </w:r>
    </w:p>
    <w:p w14:paraId="16BB96D4" w14:textId="26AF0FC0" w:rsidR="00EA1870" w:rsidRPr="00112760" w:rsidRDefault="001611CD">
      <w:pPr>
        <w:pStyle w:val="ListParagraph"/>
        <w:numPr>
          <w:ilvl w:val="0"/>
          <w:numId w:val="21"/>
        </w:numPr>
        <w:spacing w:after="158"/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 xml:space="preserve">A fydd y faneg yn aros i fyny? </w:t>
      </w:r>
    </w:p>
    <w:p w14:paraId="2FBF23A4" w14:textId="5BC41EFA" w:rsidR="0062305B" w:rsidRDefault="001611CD" w:rsidP="00112760">
      <w:pPr>
        <w:pStyle w:val="ListParagraph"/>
        <w:spacing w:after="158"/>
        <w:ind w:left="360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 xml:space="preserve">Ymhen amser bydd y faneg yn mynd i lawr oherwydd nad ydy deunydd y faneg yn gwbl aerglos. Bydd moleciwlau nwy yn dianc a bydd y pwysedd y tu mewn i’r </w:t>
      </w:r>
      <w:r>
        <w:rPr>
          <w:rFonts w:ascii="Century Gothic" w:hAnsi="Century Gothic"/>
          <w:i/>
          <w:iCs/>
        </w:rPr>
        <w:lastRenderedPageBreak/>
        <w:t>faneg yn lleihau. Mae’r un peth yn digwydd pan fyddwch yn chwythu balŵns parti i fyny – ar ôl ychydig ddyddiau byddant yn mynd i lawr oherwydd bod y moleciwlau nwy wedi dianc drwy bilen y balŵn neu drwy’r pwyntiau clymu/selio. Gallech brofi hyn drwy adael y jar a’r faneg ar yr ochr yn yr ystafell ddosbarth a chadw llygad ar faint o amser y bydd yn ei gymryd i fynd i lawr.</w:t>
      </w:r>
    </w:p>
    <w:p w14:paraId="0DE54E0A" w14:textId="30EF9AB8" w:rsidR="00D86F7D" w:rsidRDefault="00D86F7D" w:rsidP="00112760">
      <w:pPr>
        <w:pStyle w:val="ListParagraph"/>
        <w:spacing w:after="158"/>
        <w:ind w:left="360"/>
        <w:rPr>
          <w:rFonts w:ascii="Century Gothic" w:hAnsi="Century Gothic"/>
          <w:i/>
          <w:iCs/>
        </w:rPr>
      </w:pPr>
    </w:p>
    <w:p w14:paraId="730F4A73" w14:textId="2CA8142A" w:rsidR="00D86F7D" w:rsidRDefault="00D86F7D" w:rsidP="00112760">
      <w:pPr>
        <w:pStyle w:val="ListParagraph"/>
        <w:spacing w:after="158"/>
        <w:ind w:left="360"/>
        <w:rPr>
          <w:rFonts w:ascii="Century Gothic" w:hAnsi="Century Gothic"/>
          <w:i/>
          <w:iCs/>
        </w:rPr>
      </w:pPr>
    </w:p>
    <w:p w14:paraId="471A68CC" w14:textId="5B333645" w:rsidR="00D86F7D" w:rsidRDefault="00D86F7D" w:rsidP="00112760">
      <w:pPr>
        <w:pStyle w:val="ListParagraph"/>
        <w:spacing w:after="158"/>
        <w:ind w:left="360"/>
        <w:rPr>
          <w:rFonts w:ascii="Century Gothic" w:hAnsi="Century Gothic"/>
          <w:i/>
          <w:iCs/>
        </w:rPr>
      </w:pPr>
    </w:p>
    <w:p w14:paraId="56B5DEF0" w14:textId="1A369048" w:rsidR="00D86F7D" w:rsidRDefault="00D86F7D" w:rsidP="00112760">
      <w:pPr>
        <w:pStyle w:val="ListParagraph"/>
        <w:spacing w:after="158"/>
        <w:ind w:left="360"/>
        <w:rPr>
          <w:rFonts w:ascii="Century Gothic" w:hAnsi="Century Gothic"/>
          <w:i/>
          <w:iCs/>
        </w:rPr>
      </w:pPr>
    </w:p>
    <w:p w14:paraId="3A49CDA2" w14:textId="3C629186" w:rsidR="00D86F7D" w:rsidRDefault="00D86F7D" w:rsidP="00112760">
      <w:pPr>
        <w:pStyle w:val="ListParagraph"/>
        <w:spacing w:after="158"/>
        <w:ind w:left="360"/>
        <w:rPr>
          <w:rFonts w:ascii="Century Gothic" w:hAnsi="Century Gothic"/>
          <w:i/>
          <w:iCs/>
        </w:rPr>
      </w:pPr>
    </w:p>
    <w:p w14:paraId="2C759B12" w14:textId="36CACFC4" w:rsidR="00D86F7D" w:rsidRDefault="00D86F7D" w:rsidP="00112760">
      <w:pPr>
        <w:pStyle w:val="ListParagraph"/>
        <w:spacing w:after="158"/>
        <w:ind w:left="360"/>
        <w:rPr>
          <w:rFonts w:ascii="Century Gothic" w:hAnsi="Century Gothic"/>
          <w:i/>
          <w:iCs/>
        </w:rPr>
      </w:pPr>
    </w:p>
    <w:p w14:paraId="1D915DF5" w14:textId="6CCE4BFB" w:rsidR="00D86F7D" w:rsidRDefault="00D86F7D" w:rsidP="00112760">
      <w:pPr>
        <w:pStyle w:val="ListParagraph"/>
        <w:spacing w:after="158"/>
        <w:ind w:left="360"/>
        <w:rPr>
          <w:rFonts w:ascii="Century Gothic" w:hAnsi="Century Gothic"/>
          <w:i/>
          <w:iCs/>
        </w:rPr>
      </w:pPr>
    </w:p>
    <w:p w14:paraId="4145BD11" w14:textId="2B7309C5" w:rsidR="00D86F7D" w:rsidRDefault="00D86F7D" w:rsidP="00112760">
      <w:pPr>
        <w:pStyle w:val="ListParagraph"/>
        <w:spacing w:after="158"/>
        <w:ind w:left="360"/>
        <w:rPr>
          <w:rFonts w:ascii="Century Gothic" w:hAnsi="Century Gothic"/>
          <w:i/>
          <w:iCs/>
        </w:rPr>
      </w:pPr>
    </w:p>
    <w:p w14:paraId="774AA72D" w14:textId="05FC56AC" w:rsidR="00D86F7D" w:rsidRDefault="00D86F7D" w:rsidP="00112760">
      <w:pPr>
        <w:pStyle w:val="ListParagraph"/>
        <w:spacing w:after="158"/>
        <w:ind w:left="360"/>
        <w:rPr>
          <w:rFonts w:ascii="Century Gothic" w:hAnsi="Century Gothic"/>
          <w:i/>
          <w:iCs/>
        </w:rPr>
      </w:pPr>
    </w:p>
    <w:p w14:paraId="3C95B88F" w14:textId="6F96A717" w:rsidR="00D86F7D" w:rsidRPr="00D86F7D" w:rsidRDefault="00D86F7D" w:rsidP="00112760">
      <w:pPr>
        <w:pStyle w:val="ListParagraph"/>
        <w:spacing w:after="158"/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Pob llun © Y Gymdeithas Gemeg Frenhinol.</w:t>
      </w:r>
    </w:p>
    <w:sectPr w:rsidR="00D86F7D" w:rsidRPr="00D86F7D" w:rsidSect="005F2780">
      <w:headerReference w:type="default" r:id="rId17"/>
      <w:footerReference w:type="even" r:id="rId18"/>
      <w:footerReference w:type="default" r:id="rId19"/>
      <w:pgSz w:w="11906" w:h="16838"/>
      <w:pgMar w:top="1701" w:right="1440" w:bottom="1440" w:left="1440" w:header="425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76582" w14:textId="77777777" w:rsidR="006B619F" w:rsidRDefault="006B619F" w:rsidP="00A05BB4">
      <w:pPr>
        <w:spacing w:after="0" w:line="240" w:lineRule="auto"/>
      </w:pPr>
      <w:r>
        <w:separator/>
      </w:r>
    </w:p>
  </w:endnote>
  <w:endnote w:type="continuationSeparator" w:id="0">
    <w:p w14:paraId="303E3BF5" w14:textId="77777777" w:rsidR="006B619F" w:rsidRDefault="006B619F" w:rsidP="00A0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643136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A36BF2" w14:textId="1566B7BF" w:rsidR="00455EEC" w:rsidRDefault="00455EEC" w:rsidP="0092007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EAA1F5" w14:textId="77777777" w:rsidR="00AD2FEC" w:rsidRDefault="00AD2F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C5ED64" w14:textId="536F099B" w:rsidR="00455EEC" w:rsidRDefault="00455EEC" w:rsidP="00920076">
        <w:pPr>
          <w:pStyle w:val="Footer"/>
          <w:framePr w:wrap="none" w:vAnchor="text" w:hAnchor="margin" w:xAlign="center" w:y="1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65761498" w14:textId="77777777" w:rsidR="00EA1870" w:rsidRDefault="00EA1870" w:rsidP="00EA1870">
    <w:pPr>
      <w:pStyle w:val="Footer"/>
      <w:ind w:left="-850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 xml:space="preserve">Y Gymdeithas Gemeg Frenhinol </w:t>
    </w:r>
  </w:p>
  <w:p w14:paraId="5A872236" w14:textId="1927D1BB" w:rsidR="0055159C" w:rsidRPr="001C6249" w:rsidRDefault="00EA1870">
    <w:pPr>
      <w:pStyle w:val="Footer"/>
      <w:ind w:left="-850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Datblygwyd gan yr Ymddiriedolaeth Addysgu Gwyddoniaeth Cynradd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7D518" w14:textId="77777777" w:rsidR="006B619F" w:rsidRDefault="006B619F" w:rsidP="00A05BB4">
      <w:pPr>
        <w:spacing w:after="0" w:line="240" w:lineRule="auto"/>
      </w:pPr>
      <w:r>
        <w:separator/>
      </w:r>
    </w:p>
  </w:footnote>
  <w:footnote w:type="continuationSeparator" w:id="0">
    <w:p w14:paraId="5222E4C2" w14:textId="77777777" w:rsidR="006B619F" w:rsidRDefault="006B619F" w:rsidP="00A0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99FE9" w14:textId="0CC89F3D" w:rsidR="00B82F00" w:rsidRDefault="00AD2FEC" w:rsidP="00FC188D">
    <w:pPr>
      <w:pStyle w:val="Header"/>
      <w:spacing w:after="80"/>
      <w:ind w:right="-850"/>
      <w:jc w:val="right"/>
      <w:rPr>
        <w:rFonts w:ascii="Century Gothic" w:hAnsi="Century Gothic"/>
        <w:b/>
        <w:bCs/>
        <w:color w:val="DA1884"/>
        <w:sz w:val="26"/>
        <w:szCs w:val="26"/>
      </w:rPr>
    </w:pPr>
    <w:r>
      <w:rPr>
        <w:rFonts w:ascii="Century Gothic" w:hAnsi="Century Gothic"/>
        <w:b/>
        <w:bCs/>
        <w:noProof/>
        <w:color w:val="DA1884"/>
        <w:sz w:val="30"/>
        <w:szCs w:val="30"/>
      </w:rPr>
      <w:drawing>
        <wp:anchor distT="0" distB="0" distL="114300" distR="114300" simplePos="0" relativeHeight="251658239" behindDoc="1" locked="0" layoutInCell="1" allowOverlap="1" wp14:anchorId="4924777F" wp14:editId="08016EE9">
          <wp:simplePos x="0" y="0"/>
          <wp:positionH relativeFrom="column">
            <wp:posOffset>-1014564</wp:posOffset>
          </wp:positionH>
          <wp:positionV relativeFrom="paragraph">
            <wp:posOffset>-255574</wp:posOffset>
          </wp:positionV>
          <wp:extent cx="7562850" cy="10689878"/>
          <wp:effectExtent l="0" t="0" r="0" b="3810"/>
          <wp:wrapNone/>
          <wp:docPr id="10" name="Picture 1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89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color w:val="DA1884"/>
        <w:sz w:val="30"/>
        <w:szCs w:val="30"/>
      </w:rPr>
      <w:t>Ymchwiliad gwyddoniaeth cynradd</w:t>
    </w:r>
  </w:p>
  <w:p w14:paraId="307AF0D1" w14:textId="70A7D2F9" w:rsidR="00A05BB4" w:rsidRPr="00FC188D" w:rsidRDefault="00373974" w:rsidP="00593FA1">
    <w:pPr>
      <w:pStyle w:val="Header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color w:val="000000" w:themeColor="text1"/>
        <w:sz w:val="24"/>
        <w:szCs w:val="24"/>
      </w:rPr>
      <w:t>Llaw frawychus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56BA1"/>
    <w:multiLevelType w:val="hybridMultilevel"/>
    <w:tmpl w:val="94D8B7A8"/>
    <w:lvl w:ilvl="0" w:tplc="B19AE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5850"/>
    <w:multiLevelType w:val="hybridMultilevel"/>
    <w:tmpl w:val="867A80F8"/>
    <w:lvl w:ilvl="0" w:tplc="9376A0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5A6E"/>
    <w:multiLevelType w:val="hybridMultilevel"/>
    <w:tmpl w:val="E1F89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C5606"/>
    <w:multiLevelType w:val="hybridMultilevel"/>
    <w:tmpl w:val="EAD46C9E"/>
    <w:lvl w:ilvl="0" w:tplc="E80CD2E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117CBD"/>
    <w:multiLevelType w:val="hybridMultilevel"/>
    <w:tmpl w:val="584493E4"/>
    <w:lvl w:ilvl="0" w:tplc="B19AE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E4265"/>
    <w:multiLevelType w:val="hybridMultilevel"/>
    <w:tmpl w:val="C3A4204A"/>
    <w:lvl w:ilvl="0" w:tplc="677A1B48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C180A"/>
    <w:multiLevelType w:val="hybridMultilevel"/>
    <w:tmpl w:val="20142184"/>
    <w:lvl w:ilvl="0" w:tplc="677A1B48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E286E"/>
    <w:multiLevelType w:val="hybridMultilevel"/>
    <w:tmpl w:val="5F8CE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151DA"/>
    <w:multiLevelType w:val="hybridMultilevel"/>
    <w:tmpl w:val="16D09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C04A9"/>
    <w:multiLevelType w:val="hybridMultilevel"/>
    <w:tmpl w:val="DEF60402"/>
    <w:lvl w:ilvl="0" w:tplc="E80CD2E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1F0787"/>
    <w:multiLevelType w:val="hybridMultilevel"/>
    <w:tmpl w:val="03AACA60"/>
    <w:lvl w:ilvl="0" w:tplc="B19AE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5148F"/>
    <w:multiLevelType w:val="hybridMultilevel"/>
    <w:tmpl w:val="16D09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17613"/>
    <w:multiLevelType w:val="hybridMultilevel"/>
    <w:tmpl w:val="12E2E9D2"/>
    <w:lvl w:ilvl="0" w:tplc="7E00371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96A6A"/>
    <w:multiLevelType w:val="hybridMultilevel"/>
    <w:tmpl w:val="8450847E"/>
    <w:lvl w:ilvl="0" w:tplc="E80CD2E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D72A71"/>
    <w:multiLevelType w:val="hybridMultilevel"/>
    <w:tmpl w:val="CEFE9874"/>
    <w:lvl w:ilvl="0" w:tplc="7E003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66EAC"/>
    <w:multiLevelType w:val="hybridMultilevel"/>
    <w:tmpl w:val="0AE087D4"/>
    <w:lvl w:ilvl="0" w:tplc="88A804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E79D7"/>
    <w:multiLevelType w:val="hybridMultilevel"/>
    <w:tmpl w:val="A3E2815E"/>
    <w:lvl w:ilvl="0" w:tplc="0809000F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113A4"/>
    <w:multiLevelType w:val="hybridMultilevel"/>
    <w:tmpl w:val="732E3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775ED"/>
    <w:multiLevelType w:val="hybridMultilevel"/>
    <w:tmpl w:val="A228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426EC"/>
    <w:multiLevelType w:val="hybridMultilevel"/>
    <w:tmpl w:val="E8524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64159"/>
    <w:multiLevelType w:val="hybridMultilevel"/>
    <w:tmpl w:val="4C4E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95355"/>
    <w:multiLevelType w:val="hybridMultilevel"/>
    <w:tmpl w:val="3D18335C"/>
    <w:lvl w:ilvl="0" w:tplc="B464E8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20"/>
  </w:num>
  <w:num w:numId="5">
    <w:abstractNumId w:val="19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10"/>
  </w:num>
  <w:num w:numId="11">
    <w:abstractNumId w:val="0"/>
  </w:num>
  <w:num w:numId="12">
    <w:abstractNumId w:val="3"/>
  </w:num>
  <w:num w:numId="13">
    <w:abstractNumId w:val="15"/>
  </w:num>
  <w:num w:numId="14">
    <w:abstractNumId w:val="1"/>
  </w:num>
  <w:num w:numId="15">
    <w:abstractNumId w:val="12"/>
  </w:num>
  <w:num w:numId="16">
    <w:abstractNumId w:val="14"/>
  </w:num>
  <w:num w:numId="17">
    <w:abstractNumId w:val="21"/>
  </w:num>
  <w:num w:numId="18">
    <w:abstractNumId w:val="6"/>
  </w:num>
  <w:num w:numId="19">
    <w:abstractNumId w:val="5"/>
  </w:num>
  <w:num w:numId="20">
    <w:abstractNumId w:val="16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5B"/>
    <w:rsid w:val="00005391"/>
    <w:rsid w:val="00024540"/>
    <w:rsid w:val="00052C67"/>
    <w:rsid w:val="00062D9E"/>
    <w:rsid w:val="000639FB"/>
    <w:rsid w:val="00076DC8"/>
    <w:rsid w:val="0008562D"/>
    <w:rsid w:val="00085B42"/>
    <w:rsid w:val="00086E20"/>
    <w:rsid w:val="000950B6"/>
    <w:rsid w:val="000B0538"/>
    <w:rsid w:val="000C5CD5"/>
    <w:rsid w:val="000D086B"/>
    <w:rsid w:val="00112760"/>
    <w:rsid w:val="001259CE"/>
    <w:rsid w:val="0013582A"/>
    <w:rsid w:val="00137844"/>
    <w:rsid w:val="00147CF3"/>
    <w:rsid w:val="001611CD"/>
    <w:rsid w:val="001614EA"/>
    <w:rsid w:val="00164708"/>
    <w:rsid w:val="001650AE"/>
    <w:rsid w:val="00180382"/>
    <w:rsid w:val="0018279B"/>
    <w:rsid w:val="00184038"/>
    <w:rsid w:val="001A0E04"/>
    <w:rsid w:val="001B01F7"/>
    <w:rsid w:val="001C4506"/>
    <w:rsid w:val="001C6249"/>
    <w:rsid w:val="001D36CB"/>
    <w:rsid w:val="001D592A"/>
    <w:rsid w:val="001E7A75"/>
    <w:rsid w:val="001E7A7E"/>
    <w:rsid w:val="001F2CB5"/>
    <w:rsid w:val="00221A18"/>
    <w:rsid w:val="00236C82"/>
    <w:rsid w:val="00243E25"/>
    <w:rsid w:val="002451CD"/>
    <w:rsid w:val="00262382"/>
    <w:rsid w:val="00264415"/>
    <w:rsid w:val="00264AC2"/>
    <w:rsid w:val="0027233A"/>
    <w:rsid w:val="002727A7"/>
    <w:rsid w:val="002776A1"/>
    <w:rsid w:val="0028618D"/>
    <w:rsid w:val="00286CDA"/>
    <w:rsid w:val="00287AF3"/>
    <w:rsid w:val="00296750"/>
    <w:rsid w:val="002B05D6"/>
    <w:rsid w:val="002B3342"/>
    <w:rsid w:val="002D1F01"/>
    <w:rsid w:val="002D31AF"/>
    <w:rsid w:val="002D59F4"/>
    <w:rsid w:val="002D6072"/>
    <w:rsid w:val="002D6A37"/>
    <w:rsid w:val="002E4E55"/>
    <w:rsid w:val="002E6D6F"/>
    <w:rsid w:val="002E73FD"/>
    <w:rsid w:val="00302091"/>
    <w:rsid w:val="003063EA"/>
    <w:rsid w:val="0031607B"/>
    <w:rsid w:val="00333082"/>
    <w:rsid w:val="003338A2"/>
    <w:rsid w:val="003415C3"/>
    <w:rsid w:val="00345B00"/>
    <w:rsid w:val="003714F7"/>
    <w:rsid w:val="00373974"/>
    <w:rsid w:val="003755FB"/>
    <w:rsid w:val="003903F0"/>
    <w:rsid w:val="003A04E2"/>
    <w:rsid w:val="003A14AF"/>
    <w:rsid w:val="003C2307"/>
    <w:rsid w:val="003D578F"/>
    <w:rsid w:val="003E03F3"/>
    <w:rsid w:val="003E11C5"/>
    <w:rsid w:val="003E45DE"/>
    <w:rsid w:val="003E62DB"/>
    <w:rsid w:val="00413FA0"/>
    <w:rsid w:val="00427C8C"/>
    <w:rsid w:val="00455EEC"/>
    <w:rsid w:val="00472177"/>
    <w:rsid w:val="00475E45"/>
    <w:rsid w:val="0049186C"/>
    <w:rsid w:val="004A15C8"/>
    <w:rsid w:val="004A6E42"/>
    <w:rsid w:val="004B253F"/>
    <w:rsid w:val="004C0390"/>
    <w:rsid w:val="004C521C"/>
    <w:rsid w:val="004D19F9"/>
    <w:rsid w:val="004E5593"/>
    <w:rsid w:val="004F13CA"/>
    <w:rsid w:val="00501EAD"/>
    <w:rsid w:val="005054EC"/>
    <w:rsid w:val="00522478"/>
    <w:rsid w:val="00540510"/>
    <w:rsid w:val="005418A7"/>
    <w:rsid w:val="0055159C"/>
    <w:rsid w:val="00556952"/>
    <w:rsid w:val="005758C0"/>
    <w:rsid w:val="00576E6E"/>
    <w:rsid w:val="00582DB6"/>
    <w:rsid w:val="00585D22"/>
    <w:rsid w:val="005907AA"/>
    <w:rsid w:val="0059113C"/>
    <w:rsid w:val="005927AB"/>
    <w:rsid w:val="00593FA1"/>
    <w:rsid w:val="00596F9C"/>
    <w:rsid w:val="005A3F00"/>
    <w:rsid w:val="005A4659"/>
    <w:rsid w:val="005A518E"/>
    <w:rsid w:val="005C757A"/>
    <w:rsid w:val="005E2ABF"/>
    <w:rsid w:val="005F2780"/>
    <w:rsid w:val="006106C8"/>
    <w:rsid w:val="0062305B"/>
    <w:rsid w:val="00623E1A"/>
    <w:rsid w:val="00641D8C"/>
    <w:rsid w:val="0065029C"/>
    <w:rsid w:val="00651167"/>
    <w:rsid w:val="00654780"/>
    <w:rsid w:val="00655202"/>
    <w:rsid w:val="006603C3"/>
    <w:rsid w:val="0067506A"/>
    <w:rsid w:val="00682413"/>
    <w:rsid w:val="00684F57"/>
    <w:rsid w:val="0069322B"/>
    <w:rsid w:val="006B619F"/>
    <w:rsid w:val="007219EF"/>
    <w:rsid w:val="00726D10"/>
    <w:rsid w:val="00741F51"/>
    <w:rsid w:val="00765715"/>
    <w:rsid w:val="007709D5"/>
    <w:rsid w:val="00777957"/>
    <w:rsid w:val="0078481D"/>
    <w:rsid w:val="00786D76"/>
    <w:rsid w:val="007A63C4"/>
    <w:rsid w:val="007B2C37"/>
    <w:rsid w:val="007C1682"/>
    <w:rsid w:val="007D3CDA"/>
    <w:rsid w:val="007F7495"/>
    <w:rsid w:val="00801FFE"/>
    <w:rsid w:val="00802A5B"/>
    <w:rsid w:val="00803978"/>
    <w:rsid w:val="00814A31"/>
    <w:rsid w:val="008160D7"/>
    <w:rsid w:val="00820D8A"/>
    <w:rsid w:val="00826864"/>
    <w:rsid w:val="00831C79"/>
    <w:rsid w:val="008324F3"/>
    <w:rsid w:val="00835C2D"/>
    <w:rsid w:val="00836E2A"/>
    <w:rsid w:val="00844B72"/>
    <w:rsid w:val="00856EED"/>
    <w:rsid w:val="00880053"/>
    <w:rsid w:val="008875D8"/>
    <w:rsid w:val="0088781B"/>
    <w:rsid w:val="00895380"/>
    <w:rsid w:val="008A5ABD"/>
    <w:rsid w:val="008D7BC9"/>
    <w:rsid w:val="008F6996"/>
    <w:rsid w:val="00900FC6"/>
    <w:rsid w:val="009024D0"/>
    <w:rsid w:val="00911C70"/>
    <w:rsid w:val="00913533"/>
    <w:rsid w:val="009337B5"/>
    <w:rsid w:val="0094376E"/>
    <w:rsid w:val="00951E75"/>
    <w:rsid w:val="00954C7F"/>
    <w:rsid w:val="00960C02"/>
    <w:rsid w:val="00972F5F"/>
    <w:rsid w:val="00985E53"/>
    <w:rsid w:val="0098737B"/>
    <w:rsid w:val="009953F7"/>
    <w:rsid w:val="00997D94"/>
    <w:rsid w:val="009A411D"/>
    <w:rsid w:val="009C1F5D"/>
    <w:rsid w:val="009C7A42"/>
    <w:rsid w:val="009D3E9D"/>
    <w:rsid w:val="009E2F19"/>
    <w:rsid w:val="009F0E19"/>
    <w:rsid w:val="009F3581"/>
    <w:rsid w:val="00A005B2"/>
    <w:rsid w:val="00A05BB4"/>
    <w:rsid w:val="00A119A8"/>
    <w:rsid w:val="00A2277A"/>
    <w:rsid w:val="00A328BA"/>
    <w:rsid w:val="00A40633"/>
    <w:rsid w:val="00A42AAE"/>
    <w:rsid w:val="00A56D6D"/>
    <w:rsid w:val="00A56FFF"/>
    <w:rsid w:val="00A937AA"/>
    <w:rsid w:val="00AA0766"/>
    <w:rsid w:val="00AA28B0"/>
    <w:rsid w:val="00AB0EFE"/>
    <w:rsid w:val="00AB168D"/>
    <w:rsid w:val="00AB757F"/>
    <w:rsid w:val="00AB7FA9"/>
    <w:rsid w:val="00AD2FEC"/>
    <w:rsid w:val="00AD7040"/>
    <w:rsid w:val="00AE0EAD"/>
    <w:rsid w:val="00B012C3"/>
    <w:rsid w:val="00B07CD0"/>
    <w:rsid w:val="00B24CCE"/>
    <w:rsid w:val="00B269E7"/>
    <w:rsid w:val="00B3044C"/>
    <w:rsid w:val="00B31BDD"/>
    <w:rsid w:val="00B40A05"/>
    <w:rsid w:val="00B50C13"/>
    <w:rsid w:val="00B65A3E"/>
    <w:rsid w:val="00B82F00"/>
    <w:rsid w:val="00B84A3D"/>
    <w:rsid w:val="00B90F74"/>
    <w:rsid w:val="00B93757"/>
    <w:rsid w:val="00BB4D8F"/>
    <w:rsid w:val="00BC2C4F"/>
    <w:rsid w:val="00BE12A9"/>
    <w:rsid w:val="00BE74BB"/>
    <w:rsid w:val="00C04D88"/>
    <w:rsid w:val="00C127F0"/>
    <w:rsid w:val="00C53AED"/>
    <w:rsid w:val="00C61320"/>
    <w:rsid w:val="00C633A9"/>
    <w:rsid w:val="00C706D8"/>
    <w:rsid w:val="00C74A38"/>
    <w:rsid w:val="00C7679E"/>
    <w:rsid w:val="00C80796"/>
    <w:rsid w:val="00C81F44"/>
    <w:rsid w:val="00C85F9B"/>
    <w:rsid w:val="00C86561"/>
    <w:rsid w:val="00C86757"/>
    <w:rsid w:val="00C91203"/>
    <w:rsid w:val="00CB2E35"/>
    <w:rsid w:val="00CB30ED"/>
    <w:rsid w:val="00CB327C"/>
    <w:rsid w:val="00CC0D10"/>
    <w:rsid w:val="00CE0ACB"/>
    <w:rsid w:val="00CE5A69"/>
    <w:rsid w:val="00CF6C07"/>
    <w:rsid w:val="00D004B1"/>
    <w:rsid w:val="00D02B21"/>
    <w:rsid w:val="00D03738"/>
    <w:rsid w:val="00D27A75"/>
    <w:rsid w:val="00D55883"/>
    <w:rsid w:val="00D72934"/>
    <w:rsid w:val="00D752EF"/>
    <w:rsid w:val="00D75FB0"/>
    <w:rsid w:val="00D86F7D"/>
    <w:rsid w:val="00DA480D"/>
    <w:rsid w:val="00DA7466"/>
    <w:rsid w:val="00DB396B"/>
    <w:rsid w:val="00DB449A"/>
    <w:rsid w:val="00DB4AA1"/>
    <w:rsid w:val="00DD2BDD"/>
    <w:rsid w:val="00DD7C52"/>
    <w:rsid w:val="00E048C6"/>
    <w:rsid w:val="00E146D2"/>
    <w:rsid w:val="00E21353"/>
    <w:rsid w:val="00E22F57"/>
    <w:rsid w:val="00E237F6"/>
    <w:rsid w:val="00E247AD"/>
    <w:rsid w:val="00E25CFC"/>
    <w:rsid w:val="00E45410"/>
    <w:rsid w:val="00E63423"/>
    <w:rsid w:val="00E63D25"/>
    <w:rsid w:val="00EA1870"/>
    <w:rsid w:val="00EB1AE3"/>
    <w:rsid w:val="00EB539F"/>
    <w:rsid w:val="00EC1660"/>
    <w:rsid w:val="00ED27D9"/>
    <w:rsid w:val="00EE5572"/>
    <w:rsid w:val="00F13419"/>
    <w:rsid w:val="00F20330"/>
    <w:rsid w:val="00F32355"/>
    <w:rsid w:val="00F32CE2"/>
    <w:rsid w:val="00F36132"/>
    <w:rsid w:val="00F43A78"/>
    <w:rsid w:val="00F44E8A"/>
    <w:rsid w:val="00F47569"/>
    <w:rsid w:val="00F5573E"/>
    <w:rsid w:val="00F62DA8"/>
    <w:rsid w:val="00F66F39"/>
    <w:rsid w:val="00F82CCF"/>
    <w:rsid w:val="00F83149"/>
    <w:rsid w:val="00F83C2C"/>
    <w:rsid w:val="00F87A60"/>
    <w:rsid w:val="00F90A2C"/>
    <w:rsid w:val="00F953AF"/>
    <w:rsid w:val="00F95881"/>
    <w:rsid w:val="00F978E9"/>
    <w:rsid w:val="00FA45CF"/>
    <w:rsid w:val="00FA57FA"/>
    <w:rsid w:val="00FA6BC1"/>
    <w:rsid w:val="00FC188D"/>
    <w:rsid w:val="00FD6E84"/>
    <w:rsid w:val="00FE1110"/>
    <w:rsid w:val="00FE4AD8"/>
    <w:rsid w:val="00FE7007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3D93FE"/>
  <w15:chartTrackingRefBased/>
  <w15:docId w15:val="{1AA48963-2D87-44CF-91FC-D77998E1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B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B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05B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05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BB4"/>
  </w:style>
  <w:style w:type="paragraph" w:styleId="Footer">
    <w:name w:val="footer"/>
    <w:basedOn w:val="Normal"/>
    <w:link w:val="FooterChar"/>
    <w:uiPriority w:val="99"/>
    <w:unhideWhenUsed/>
    <w:rsid w:val="00A05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BB4"/>
  </w:style>
  <w:style w:type="character" w:customStyle="1" w:styleId="Heading2Char">
    <w:name w:val="Heading 2 Char"/>
    <w:basedOn w:val="DefaultParagraphFont"/>
    <w:link w:val="Heading2"/>
    <w:uiPriority w:val="9"/>
    <w:rsid w:val="00A05B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05BB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55EEC"/>
  </w:style>
  <w:style w:type="character" w:styleId="Hyperlink">
    <w:name w:val="Hyperlink"/>
    <w:basedOn w:val="DefaultParagraphFont"/>
    <w:uiPriority w:val="99"/>
    <w:unhideWhenUsed/>
    <w:rsid w:val="00B24C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C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6D6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5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C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C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C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6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rXlW1a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c.li/2TXCjO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rsc.li/3fEXRa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rsc.li/3jKPsE3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63085-3BDE-44AC-AEFB-F43F22E5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Freaky hand _primary science investigation_teacher notes</vt:lpstr>
    </vt:vector>
  </TitlesOfParts>
  <Company>Royal Society of Chemistry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Llaw frawychus: nodiadau i athrawon</dc:title>
  <dc:subject>Mae’r arbrawf hwn yn canolbwyntio ar adweithio finegr a soda pobi i gynhyrchu nwy carbon deuocsid.</dc:subject>
  <dc:creator>Chloe Francis</dc:creator>
  <cp:keywords>Primary science experiment_investigation_reversible_irreversible_changes_reactions_gas</cp:keywords>
  <dc:description>Royal Society of Chemistry</dc:description>
  <cp:lastModifiedBy>Chloe Francis</cp:lastModifiedBy>
  <cp:revision>9</cp:revision>
  <dcterms:created xsi:type="dcterms:W3CDTF">2021-05-31T11:58:00Z</dcterms:created>
  <dcterms:modified xsi:type="dcterms:W3CDTF">2021-08-06T14:46:00Z</dcterms:modified>
</cp:coreProperties>
</file>