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43414498" w:rsidR="00AC639E" w:rsidRDefault="00EE42B8" w:rsidP="00AC639E">
      <w:pPr>
        <w:pStyle w:val="Heading1"/>
      </w:pPr>
      <w:r>
        <w:t>Teaching rates of reaction post-16: next steps</w:t>
      </w:r>
    </w:p>
    <w:p w14:paraId="15CE8942" w14:textId="1FBEF438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E42B8">
        <w:rPr>
          <w:rStyle w:val="LeadparagraphChar"/>
        </w:rPr>
        <w:t>September 2021</w:t>
      </w:r>
      <w:r w:rsidR="00F953CF">
        <w:rPr>
          <w:rStyle w:val="LeadparagraphChar"/>
        </w:rPr>
        <w:t xml:space="preserve"> </w:t>
      </w:r>
      <w:r>
        <w:rPr>
          <w:rStyle w:val="LeadparagraphChar"/>
        </w:rPr>
        <w:br/>
      </w:r>
      <w:hyperlink r:id="rId10" w:history="1">
        <w:r w:rsidR="002245BE" w:rsidRPr="002245BE">
          <w:rPr>
            <w:rStyle w:val="Hyperlink"/>
          </w:rPr>
          <w:t>rsc.li/3jV0WVq</w:t>
        </w:r>
      </w:hyperlink>
    </w:p>
    <w:p w14:paraId="416654EB" w14:textId="29C9FBB8" w:rsidR="007705C4" w:rsidRDefault="00EE42B8" w:rsidP="00D96D68">
      <w:pPr>
        <w:rPr>
          <w:b/>
          <w:bCs/>
        </w:rPr>
      </w:pPr>
      <w:r>
        <w:rPr>
          <w:b/>
          <w:bCs/>
        </w:rPr>
        <w:t>These steps follow those from the graphical representations in the Teacher checklist, which accompanied the first Teaching rates of reaction post-16 article (</w:t>
      </w:r>
      <w:hyperlink r:id="rId11" w:history="1">
        <w:r w:rsidR="002245BE" w:rsidRPr="002245BE">
          <w:rPr>
            <w:rStyle w:val="Hyperlink"/>
            <w:b/>
            <w:bCs/>
          </w:rPr>
          <w:t>rsc.li/3yLp1nU</w:t>
        </w:r>
      </w:hyperlink>
      <w:r>
        <w:rPr>
          <w:b/>
          <w:bCs/>
        </w:rPr>
        <w:t>).</w:t>
      </w:r>
    </w:p>
    <w:p w14:paraId="2F455D9B" w14:textId="1314F628" w:rsidR="00F953CF" w:rsidRDefault="00EE42B8" w:rsidP="00F953CF">
      <w:pPr>
        <w:pStyle w:val="Heading2"/>
      </w:pPr>
      <w:r>
        <w:t>Introducing the rate equation</w:t>
      </w:r>
    </w:p>
    <w:p w14:paraId="6DEC9246" w14:textId="4367C86A" w:rsidR="00F953CF" w:rsidRDefault="00315571" w:rsidP="00F953CF">
      <w:r>
        <w:t xml:space="preserve">Students should be familiar with transforming a relationship that shows a proportional relationship into an equation by including a constant of proportionality. </w:t>
      </w:r>
    </w:p>
    <w:p w14:paraId="7F806910" w14:textId="358B6611" w:rsidR="00315571" w:rsidRPr="0061582B" w:rsidRDefault="00315571" w:rsidP="00315571">
      <w:pPr>
        <w:rPr>
          <w:b/>
          <w:bCs/>
          <w:i/>
          <w:iCs/>
          <w:vertAlign w:val="superscript"/>
        </w:rPr>
      </w:pPr>
      <w:r w:rsidRPr="0061582B">
        <w:rPr>
          <w:b/>
          <w:bCs/>
          <w:i/>
          <w:iCs/>
        </w:rPr>
        <w:t xml:space="preserve">Rate </w:t>
      </w:r>
      <w:r w:rsidR="0061582B" w:rsidRPr="0061582B">
        <w:rPr>
          <w:rFonts w:ascii="Cambria Math" w:hAnsi="Cambria Math" w:cs="Cambria Math"/>
          <w:b/>
          <w:bCs/>
          <w:i/>
          <w:iCs/>
          <w:color w:val="202124"/>
          <w:shd w:val="clear" w:color="auto" w:fill="FFFFFF"/>
        </w:rPr>
        <w:t>∝</w:t>
      </w:r>
      <w:r w:rsidRPr="0061582B">
        <w:rPr>
          <w:b/>
          <w:bCs/>
          <w:i/>
          <w:iCs/>
        </w:rPr>
        <w:t xml:space="preserve"> [x]</w:t>
      </w:r>
      <w:r w:rsidRPr="0061582B">
        <w:rPr>
          <w:b/>
          <w:bCs/>
          <w:i/>
          <w:iCs/>
          <w:vertAlign w:val="superscript"/>
        </w:rPr>
        <w:t>n</w:t>
      </w:r>
      <w:r w:rsidRPr="00315571">
        <w:rPr>
          <w:b/>
          <w:bCs/>
          <w:sz w:val="24"/>
          <w:szCs w:val="24"/>
        </w:rPr>
        <w:t xml:space="preserve"> </w:t>
      </w:r>
      <w:r w:rsidRPr="00315571">
        <w:rPr>
          <w:b/>
          <w:bCs/>
        </w:rPr>
        <w:t>becomes</w:t>
      </w:r>
      <w:r w:rsidRPr="00315571">
        <w:rPr>
          <w:b/>
          <w:bCs/>
          <w:sz w:val="24"/>
          <w:szCs w:val="24"/>
        </w:rPr>
        <w:t xml:space="preserve"> </w:t>
      </w:r>
      <w:r w:rsidRPr="0061582B">
        <w:rPr>
          <w:b/>
          <w:bCs/>
          <w:i/>
          <w:iCs/>
        </w:rPr>
        <w:t xml:space="preserve">Rate </w:t>
      </w:r>
      <w:r w:rsidRPr="0061582B">
        <w:rPr>
          <w:rFonts w:cstheme="minorHAnsi"/>
          <w:b/>
          <w:bCs/>
          <w:i/>
          <w:iCs/>
        </w:rPr>
        <w:t>= k</w:t>
      </w:r>
      <w:r w:rsidRPr="0061582B">
        <w:rPr>
          <w:b/>
          <w:bCs/>
          <w:i/>
          <w:iCs/>
        </w:rPr>
        <w:t>[x]</w:t>
      </w:r>
      <w:r w:rsidRPr="0061582B">
        <w:rPr>
          <w:b/>
          <w:bCs/>
          <w:i/>
          <w:iCs/>
          <w:vertAlign w:val="superscript"/>
        </w:rPr>
        <w:t>n</w:t>
      </w:r>
    </w:p>
    <w:p w14:paraId="23159943" w14:textId="274C32BF" w:rsidR="00315571" w:rsidRDefault="00315571" w:rsidP="00315571">
      <w:r w:rsidRPr="00315571">
        <w:t xml:space="preserve">Where </w:t>
      </w:r>
      <w:r w:rsidRPr="00315571">
        <w:rPr>
          <w:i/>
          <w:iCs/>
        </w:rPr>
        <w:t>k</w:t>
      </w:r>
      <w:r w:rsidRPr="00315571">
        <w:t xml:space="preserve"> </w:t>
      </w:r>
      <w:r>
        <w:t>is the rate constant. This is only a constant when the temperature remains the same o</w:t>
      </w:r>
      <w:r w:rsidR="0061582B">
        <w:t>r when</w:t>
      </w:r>
      <w:r>
        <w:t xml:space="preserve"> a catalyst doesn’t affect the rate. </w:t>
      </w:r>
    </w:p>
    <w:p w14:paraId="04951419" w14:textId="3550ED26" w:rsidR="00315571" w:rsidRDefault="00315571" w:rsidP="00315571">
      <w:pPr>
        <w:pStyle w:val="Heading3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728C0A" wp14:editId="7AEF8D60">
            <wp:simplePos x="0" y="0"/>
            <wp:positionH relativeFrom="column">
              <wp:posOffset>3676797</wp:posOffset>
            </wp:positionH>
            <wp:positionV relativeFrom="paragraph">
              <wp:posOffset>23633</wp:posOffset>
            </wp:positionV>
            <wp:extent cx="2764643" cy="1784611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489" cy="1785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Calculating the rate constant</w:t>
      </w:r>
    </w:p>
    <w:p w14:paraId="709E160D" w14:textId="0109F625" w:rsidR="00315571" w:rsidRDefault="00315571" w:rsidP="00315571">
      <w:pPr>
        <w:rPr>
          <w:vertAlign w:val="subscript"/>
        </w:rPr>
      </w:pPr>
      <w:r>
        <w:t>Now take Log</w:t>
      </w:r>
      <w:r w:rsidRPr="00315571">
        <w:rPr>
          <w:vertAlign w:val="subscript"/>
        </w:rPr>
        <w:t>10</w:t>
      </w:r>
      <w:r>
        <w:rPr>
          <w:vertAlign w:val="subscript"/>
        </w:rPr>
        <w:tab/>
      </w:r>
    </w:p>
    <w:p w14:paraId="2E43EE21" w14:textId="77777777" w:rsidR="00315571" w:rsidRPr="0061582B" w:rsidRDefault="00315571" w:rsidP="00315571">
      <w:pPr>
        <w:rPr>
          <w:b/>
          <w:bCs/>
          <w:i/>
          <w:iCs/>
        </w:rPr>
      </w:pPr>
      <w:r w:rsidRPr="0061582B">
        <w:rPr>
          <w:b/>
          <w:bCs/>
          <w:i/>
          <w:iCs/>
        </w:rPr>
        <w:t xml:space="preserve">Log rate = </w:t>
      </w:r>
      <w:proofErr w:type="spellStart"/>
      <w:r w:rsidRPr="0061582B">
        <w:rPr>
          <w:b/>
          <w:bCs/>
          <w:i/>
          <w:iCs/>
        </w:rPr>
        <w:t>logk</w:t>
      </w:r>
      <w:proofErr w:type="spellEnd"/>
      <w:r w:rsidRPr="0061582B">
        <w:rPr>
          <w:b/>
          <w:bCs/>
          <w:i/>
          <w:iCs/>
        </w:rPr>
        <w:t xml:space="preserve"> + </w:t>
      </w:r>
      <w:proofErr w:type="spellStart"/>
      <w:r w:rsidRPr="0061582B">
        <w:rPr>
          <w:b/>
          <w:bCs/>
          <w:i/>
          <w:iCs/>
        </w:rPr>
        <w:t>nlog</w:t>
      </w:r>
      <w:proofErr w:type="spellEnd"/>
      <w:r w:rsidRPr="0061582B">
        <w:rPr>
          <w:b/>
          <w:bCs/>
          <w:i/>
          <w:iCs/>
        </w:rPr>
        <w:t>[x]</w:t>
      </w:r>
    </w:p>
    <w:p w14:paraId="7F132E7E" w14:textId="2E2C20BD" w:rsidR="00315571" w:rsidRDefault="00315571" w:rsidP="00315571">
      <w:pPr>
        <w:rPr>
          <w:i/>
          <w:iCs/>
        </w:rPr>
      </w:pPr>
      <w:r w:rsidRPr="00315571">
        <w:t xml:space="preserve">This equation form can be compared to </w:t>
      </w:r>
      <w:r w:rsidRPr="00315571">
        <w:rPr>
          <w:i/>
          <w:iCs/>
        </w:rPr>
        <w:t>y = m</w:t>
      </w:r>
      <w:r>
        <w:rPr>
          <w:i/>
          <w:iCs/>
        </w:rPr>
        <w:t>x</w:t>
      </w:r>
      <w:r w:rsidR="0061582B">
        <w:rPr>
          <w:i/>
          <w:iCs/>
        </w:rPr>
        <w:t xml:space="preserve"> </w:t>
      </w:r>
      <w:r w:rsidRPr="00315571">
        <w:rPr>
          <w:i/>
          <w:iCs/>
        </w:rPr>
        <w:t>+</w:t>
      </w:r>
      <w:r w:rsidR="0061582B">
        <w:rPr>
          <w:i/>
          <w:iCs/>
        </w:rPr>
        <w:t xml:space="preserve"> </w:t>
      </w:r>
      <w:r>
        <w:rPr>
          <w:i/>
          <w:iCs/>
        </w:rPr>
        <w:t>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  <w:gridCol w:w="709"/>
        <w:gridCol w:w="425"/>
        <w:gridCol w:w="993"/>
      </w:tblGrid>
      <w:tr w:rsidR="00315571" w14:paraId="08A959A6" w14:textId="77777777" w:rsidTr="00315571">
        <w:tc>
          <w:tcPr>
            <w:tcW w:w="1129" w:type="dxa"/>
          </w:tcPr>
          <w:p w14:paraId="372B2CF8" w14:textId="0FB331FA" w:rsidR="00315571" w:rsidRPr="0061582B" w:rsidRDefault="00315571" w:rsidP="00315571">
            <w:pPr>
              <w:jc w:val="center"/>
              <w:rPr>
                <w:i/>
                <w:iCs/>
              </w:rPr>
            </w:pPr>
            <w:r w:rsidRPr="0061582B">
              <w:rPr>
                <w:b/>
                <w:bCs/>
                <w:i/>
                <w:iCs/>
              </w:rPr>
              <w:t>Log rate</w:t>
            </w:r>
          </w:p>
        </w:tc>
        <w:tc>
          <w:tcPr>
            <w:tcW w:w="567" w:type="dxa"/>
          </w:tcPr>
          <w:p w14:paraId="0E68FA3E" w14:textId="10FED083" w:rsidR="00315571" w:rsidRDefault="00315571" w:rsidP="00315571">
            <w:pPr>
              <w:jc w:val="center"/>
            </w:pPr>
            <w:r w:rsidRPr="00315571">
              <w:rPr>
                <w:b/>
                <w:bCs/>
              </w:rPr>
              <w:t>=</w:t>
            </w:r>
          </w:p>
        </w:tc>
        <w:tc>
          <w:tcPr>
            <w:tcW w:w="709" w:type="dxa"/>
          </w:tcPr>
          <w:p w14:paraId="6C54CF53" w14:textId="3C1AA190" w:rsidR="00315571" w:rsidRPr="0061582B" w:rsidRDefault="00315571" w:rsidP="00315571">
            <w:pPr>
              <w:jc w:val="center"/>
              <w:rPr>
                <w:i/>
                <w:iCs/>
              </w:rPr>
            </w:pPr>
            <w:proofErr w:type="spellStart"/>
            <w:r w:rsidRPr="0061582B">
              <w:rPr>
                <w:b/>
                <w:bCs/>
                <w:i/>
                <w:iCs/>
              </w:rPr>
              <w:t>logk</w:t>
            </w:r>
            <w:proofErr w:type="spellEnd"/>
          </w:p>
        </w:tc>
        <w:tc>
          <w:tcPr>
            <w:tcW w:w="425" w:type="dxa"/>
          </w:tcPr>
          <w:p w14:paraId="0CA282D7" w14:textId="79891EC5" w:rsidR="00315571" w:rsidRDefault="00315571" w:rsidP="00315571">
            <w:pPr>
              <w:jc w:val="center"/>
            </w:pPr>
            <w:r w:rsidRPr="00315571">
              <w:rPr>
                <w:b/>
                <w:bCs/>
              </w:rPr>
              <w:t>+</w:t>
            </w:r>
          </w:p>
        </w:tc>
        <w:tc>
          <w:tcPr>
            <w:tcW w:w="993" w:type="dxa"/>
          </w:tcPr>
          <w:p w14:paraId="518223EF" w14:textId="5DC8FC8A" w:rsidR="00315571" w:rsidRPr="0061582B" w:rsidRDefault="00315571" w:rsidP="0031557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61582B">
              <w:rPr>
                <w:b/>
                <w:bCs/>
                <w:i/>
                <w:iCs/>
              </w:rPr>
              <w:t>nlog</w:t>
            </w:r>
            <w:proofErr w:type="spellEnd"/>
            <w:r w:rsidRPr="0061582B">
              <w:rPr>
                <w:b/>
                <w:bCs/>
                <w:i/>
                <w:iCs/>
              </w:rPr>
              <w:t>[x]</w:t>
            </w:r>
          </w:p>
        </w:tc>
      </w:tr>
      <w:tr w:rsidR="00315571" w14:paraId="675D6151" w14:textId="77777777" w:rsidTr="00315571">
        <w:tc>
          <w:tcPr>
            <w:tcW w:w="1129" w:type="dxa"/>
          </w:tcPr>
          <w:p w14:paraId="63E0F644" w14:textId="028D2609" w:rsidR="00315571" w:rsidRPr="00315571" w:rsidRDefault="00315571" w:rsidP="00315571">
            <w:pPr>
              <w:jc w:val="center"/>
              <w:rPr>
                <w:i/>
                <w:iCs/>
              </w:rPr>
            </w:pPr>
            <w:r w:rsidRPr="00315571">
              <w:rPr>
                <w:i/>
                <w:iCs/>
              </w:rPr>
              <w:t>y</w:t>
            </w:r>
          </w:p>
        </w:tc>
        <w:tc>
          <w:tcPr>
            <w:tcW w:w="567" w:type="dxa"/>
          </w:tcPr>
          <w:p w14:paraId="48547B0D" w14:textId="7BF8C9F5" w:rsidR="00315571" w:rsidRPr="00315571" w:rsidRDefault="00315571" w:rsidP="00315571">
            <w:pPr>
              <w:jc w:val="center"/>
              <w:rPr>
                <w:i/>
                <w:iCs/>
              </w:rPr>
            </w:pPr>
            <w:r w:rsidRPr="00315571">
              <w:rPr>
                <w:i/>
                <w:iCs/>
              </w:rPr>
              <w:t>=</w:t>
            </w:r>
          </w:p>
        </w:tc>
        <w:tc>
          <w:tcPr>
            <w:tcW w:w="709" w:type="dxa"/>
          </w:tcPr>
          <w:p w14:paraId="6C016E39" w14:textId="1268C008" w:rsidR="00315571" w:rsidRPr="00315571" w:rsidRDefault="00315571" w:rsidP="00315571">
            <w:pPr>
              <w:jc w:val="center"/>
              <w:rPr>
                <w:i/>
                <w:iCs/>
              </w:rPr>
            </w:pPr>
            <w:r w:rsidRPr="00315571">
              <w:rPr>
                <w:i/>
                <w:iCs/>
              </w:rPr>
              <w:t>c</w:t>
            </w:r>
          </w:p>
        </w:tc>
        <w:tc>
          <w:tcPr>
            <w:tcW w:w="425" w:type="dxa"/>
          </w:tcPr>
          <w:p w14:paraId="0DEE6C02" w14:textId="579BBF68" w:rsidR="00315571" w:rsidRPr="00315571" w:rsidRDefault="00315571" w:rsidP="00315571">
            <w:pPr>
              <w:jc w:val="center"/>
              <w:rPr>
                <w:i/>
                <w:iCs/>
              </w:rPr>
            </w:pPr>
            <w:r w:rsidRPr="00315571">
              <w:rPr>
                <w:i/>
                <w:iCs/>
              </w:rPr>
              <w:t>+</w:t>
            </w:r>
          </w:p>
        </w:tc>
        <w:tc>
          <w:tcPr>
            <w:tcW w:w="993" w:type="dxa"/>
          </w:tcPr>
          <w:p w14:paraId="0EB24067" w14:textId="75DCB14C" w:rsidR="00315571" w:rsidRPr="00315571" w:rsidRDefault="00315571" w:rsidP="00315571">
            <w:pPr>
              <w:jc w:val="center"/>
              <w:rPr>
                <w:i/>
                <w:iCs/>
              </w:rPr>
            </w:pPr>
            <w:r w:rsidRPr="00315571">
              <w:rPr>
                <w:i/>
                <w:iCs/>
              </w:rPr>
              <w:t>mx</w:t>
            </w:r>
          </w:p>
        </w:tc>
      </w:tr>
    </w:tbl>
    <w:p w14:paraId="4195E826" w14:textId="4C947BEB" w:rsidR="00315571" w:rsidRPr="000950DE" w:rsidRDefault="00315571" w:rsidP="00315571">
      <w:r>
        <w:rPr>
          <w:rFonts w:cstheme="minorHAnsi"/>
        </w:rPr>
        <w:br/>
      </w:r>
      <w:r w:rsidRPr="000950DE">
        <w:rPr>
          <w:rFonts w:cstheme="minorHAnsi"/>
        </w:rPr>
        <w:t xml:space="preserve">So, plotting </w:t>
      </w:r>
      <w:r w:rsidRPr="0061582B">
        <w:rPr>
          <w:i/>
          <w:iCs/>
        </w:rPr>
        <w:t>log[x]</w:t>
      </w:r>
      <w:r w:rsidRPr="000950DE">
        <w:t xml:space="preserve"> against </w:t>
      </w:r>
      <w:r w:rsidRPr="0061582B">
        <w:rPr>
          <w:i/>
          <w:iCs/>
        </w:rPr>
        <w:t>log rate</w:t>
      </w:r>
      <w:r w:rsidRPr="000950DE">
        <w:t xml:space="preserve"> allows the gradient </w:t>
      </w:r>
      <w:r w:rsidRPr="0061582B">
        <w:rPr>
          <w:i/>
          <w:iCs/>
        </w:rPr>
        <w:t>n</w:t>
      </w:r>
      <w:r w:rsidRPr="000950DE">
        <w:t xml:space="preserve"> (order) to be calculated. The intercept is </w:t>
      </w:r>
      <w:proofErr w:type="spellStart"/>
      <w:r w:rsidRPr="0061582B">
        <w:rPr>
          <w:i/>
          <w:iCs/>
        </w:rPr>
        <w:t>logk</w:t>
      </w:r>
      <w:proofErr w:type="spellEnd"/>
      <w:r w:rsidRPr="000950DE">
        <w:t xml:space="preserve"> </w:t>
      </w:r>
      <w:r>
        <w:t xml:space="preserve">which is important for calculating the </w:t>
      </w:r>
      <w:r w:rsidRPr="0061582B">
        <w:rPr>
          <w:i/>
          <w:iCs/>
        </w:rPr>
        <w:t>Ea</w:t>
      </w:r>
      <w:r>
        <w:t>.</w:t>
      </w:r>
    </w:p>
    <w:p w14:paraId="4BDB11BA" w14:textId="33E40DA2" w:rsidR="00315571" w:rsidRDefault="009F3836" w:rsidP="00315571">
      <w:pPr>
        <w:pStyle w:val="Heading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CE77A" wp14:editId="18992112">
            <wp:simplePos x="0" y="0"/>
            <wp:positionH relativeFrom="column">
              <wp:posOffset>3564448</wp:posOffset>
            </wp:positionH>
            <wp:positionV relativeFrom="paragraph">
              <wp:posOffset>119380</wp:posOffset>
            </wp:positionV>
            <wp:extent cx="2661757" cy="2385391"/>
            <wp:effectExtent l="0" t="0" r="5715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757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571">
        <w:t>Calculating the activation energy (</w:t>
      </w:r>
      <w:proofErr w:type="spellStart"/>
      <w:r w:rsidR="00315571" w:rsidRPr="00315571">
        <w:rPr>
          <w:i/>
          <w:iCs/>
        </w:rPr>
        <w:t>E</w:t>
      </w:r>
      <w:r w:rsidR="00315571" w:rsidRPr="002245BE">
        <w:rPr>
          <w:i/>
          <w:iCs/>
          <w:vertAlign w:val="subscript"/>
        </w:rPr>
        <w:t>a</w:t>
      </w:r>
      <w:proofErr w:type="spellEnd"/>
      <w:r w:rsidR="00315571">
        <w:t>)</w:t>
      </w:r>
    </w:p>
    <w:p w14:paraId="62034330" w14:textId="77777777" w:rsidR="00315571" w:rsidRDefault="00315571" w:rsidP="00315571">
      <w:r>
        <w:t>Applying the Arrhenius equation</w:t>
      </w:r>
    </w:p>
    <w:p w14:paraId="457DEA2A" w14:textId="77777777" w:rsidR="00315571" w:rsidRPr="0061582B" w:rsidRDefault="00315571" w:rsidP="00315571">
      <w:pPr>
        <w:rPr>
          <w:b/>
          <w:bCs/>
          <w:i/>
          <w:iCs/>
        </w:rPr>
      </w:pPr>
      <w:r w:rsidRPr="0061582B">
        <w:rPr>
          <w:b/>
          <w:bCs/>
          <w:i/>
          <w:iCs/>
        </w:rPr>
        <w:t>k = Ae</w:t>
      </w:r>
      <w:r w:rsidRPr="0061582B">
        <w:rPr>
          <w:b/>
          <w:bCs/>
          <w:i/>
          <w:iCs/>
          <w:vertAlign w:val="superscript"/>
        </w:rPr>
        <w:t>-</w:t>
      </w:r>
      <w:proofErr w:type="spellStart"/>
      <w:r w:rsidRPr="0061582B">
        <w:rPr>
          <w:b/>
          <w:bCs/>
          <w:i/>
          <w:iCs/>
          <w:vertAlign w:val="superscript"/>
        </w:rPr>
        <w:t>Ea</w:t>
      </w:r>
      <w:proofErr w:type="spellEnd"/>
      <w:r w:rsidRPr="0061582B">
        <w:rPr>
          <w:b/>
          <w:bCs/>
          <w:i/>
          <w:iCs/>
          <w:vertAlign w:val="superscript"/>
        </w:rPr>
        <w:t>/RT</w:t>
      </w:r>
    </w:p>
    <w:p w14:paraId="61BD774C" w14:textId="77777777" w:rsidR="00315571" w:rsidRDefault="00315571" w:rsidP="00315571">
      <w:r>
        <w:t xml:space="preserve">Take natural logarithms and plot </w:t>
      </w:r>
      <w:proofErr w:type="spellStart"/>
      <w:r w:rsidRPr="00315571">
        <w:rPr>
          <w:i/>
          <w:iCs/>
        </w:rPr>
        <w:t>lnk</w:t>
      </w:r>
      <w:proofErr w:type="spellEnd"/>
      <w:r>
        <w:t xml:space="preserve"> versus </w:t>
      </w:r>
      <w:r w:rsidRPr="00315571">
        <w:rPr>
          <w:i/>
          <w:iCs/>
        </w:rPr>
        <w:t>1/T</w:t>
      </w:r>
    </w:p>
    <w:p w14:paraId="2F90D334" w14:textId="77777777" w:rsidR="00315571" w:rsidRPr="00315571" w:rsidRDefault="00315571" w:rsidP="00315571"/>
    <w:sectPr w:rsidR="00315571" w:rsidRPr="00315571" w:rsidSect="00042CA7"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68D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AE1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E6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4AD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87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802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6A1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C45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70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8C7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0"/>
  </w:num>
  <w:num w:numId="5">
    <w:abstractNumId w:val="16"/>
    <w:lvlOverride w:ilvl="0">
      <w:startOverride w:val="2"/>
    </w:lvlOverride>
  </w:num>
  <w:num w:numId="6">
    <w:abstractNumId w:val="15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245BE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15571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1582B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9F3836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6D68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42B8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53CF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3yLp1n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3jV0WV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7d643f5-4560-4eff-9f48-d0fe6b2bec2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steps: introducing the rate equation</dc:title>
  <dc:subject>Rates of reaction post-16</dc:subject>
  <dc:creator>Royal Society of Chemistry</dc:creator>
  <cp:keywords>catalysts; rates of reaction; Arrenhuis; activation energy</cp:keywords>
  <dc:description>From Teaching rates of reaction post-16: part 2, Education in Chemistry, rsc.li/3jV0WVq</dc:description>
  <cp:lastModifiedBy>Georgia Murphy</cp:lastModifiedBy>
  <cp:revision>6</cp:revision>
  <dcterms:created xsi:type="dcterms:W3CDTF">2021-08-17T10:44:00Z</dcterms:created>
  <dcterms:modified xsi:type="dcterms:W3CDTF">2021-08-18T11:10:00Z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