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49D62E" w14:textId="77777777" w:rsidR="000735F0" w:rsidRDefault="000735F0" w:rsidP="000735F0">
      <w:pPr>
        <w:pStyle w:val="Leadparagraph"/>
        <w:spacing w:after="0"/>
        <w:rPr>
          <w:rStyle w:val="LeadparagraphChar"/>
          <w:bCs/>
          <w:iCs/>
        </w:rPr>
      </w:pPr>
      <w:r>
        <w:rPr>
          <w:rStyle w:val="LeadparagraphChar"/>
          <w:i/>
        </w:rPr>
        <w:t>Education in Chemistry</w:t>
      </w:r>
      <w:r>
        <w:rPr>
          <w:rStyle w:val="LeadparagraphChar"/>
        </w:rPr>
        <w:br/>
      </w:r>
      <w:bookmarkStart w:id="0" w:name="_Hlk77065528"/>
      <w:r>
        <w:rPr>
          <w:rStyle w:val="LeadparagraphChar"/>
          <w:iCs/>
        </w:rPr>
        <w:t>Sustainability in chemistry</w:t>
      </w:r>
      <w:r>
        <w:rPr>
          <w:rStyle w:val="LeadparagraphChar"/>
          <w:bCs/>
          <w:iCs/>
        </w:rPr>
        <w:t xml:space="preserve"> 2021</w:t>
      </w:r>
    </w:p>
    <w:bookmarkEnd w:id="0"/>
    <w:p w14:paraId="699D1FD2" w14:textId="656C8175" w:rsidR="000735F0" w:rsidRPr="000735F0" w:rsidRDefault="000735F0" w:rsidP="000735F0">
      <w:pPr>
        <w:pStyle w:val="Leadparagraph"/>
      </w:pPr>
      <w:r>
        <w:rPr>
          <w:rStyle w:val="LeadparagraphChar"/>
          <w:bCs/>
        </w:rPr>
        <w:t xml:space="preserve">Goal 2: </w:t>
      </w:r>
      <w:r>
        <w:rPr>
          <w:bCs/>
        </w:rPr>
        <w:t>End hunger, achieve food security and improved nutrition and promote sustainable agriculture</w:t>
      </w:r>
      <w:r>
        <w:rPr>
          <w:rStyle w:val="LeadparagraphChar"/>
          <w:bCs/>
        </w:rPr>
        <w:br/>
      </w:r>
      <w:hyperlink r:id="rId11" w:history="1">
        <w:r>
          <w:rPr>
            <w:rStyle w:val="Hyperlink"/>
          </w:rPr>
          <w:t>rsc.li/3sFPwsx</w:t>
        </w:r>
      </w:hyperlink>
    </w:p>
    <w:p w14:paraId="1EA4DAFB" w14:textId="39931865" w:rsidR="00003A68" w:rsidRPr="00003A68" w:rsidRDefault="00003A68" w:rsidP="00003A68">
      <w:pPr>
        <w:keepLines w:val="0"/>
        <w:spacing w:after="0"/>
        <w:rPr>
          <w:rFonts w:eastAsia="Times New Roman"/>
          <w:lang w:eastAsia="en-GB"/>
        </w:rPr>
      </w:pPr>
      <w:r w:rsidRPr="00003A68">
        <w:rPr>
          <w:rFonts w:eastAsia="Times New Roman"/>
          <w:lang w:eastAsia="en-GB"/>
        </w:rPr>
        <w:t>Information sheet for assessing the common practical assessment competencies (CPACs) in the English A</w:t>
      </w:r>
      <w:r w:rsidR="00B96AEA">
        <w:rPr>
          <w:rFonts w:eastAsia="Times New Roman"/>
          <w:lang w:eastAsia="en-GB"/>
        </w:rPr>
        <w:t>-l</w:t>
      </w:r>
      <w:r w:rsidRPr="00003A68">
        <w:rPr>
          <w:rFonts w:eastAsia="Times New Roman"/>
          <w:lang w:eastAsia="en-GB"/>
        </w:rPr>
        <w:t>evel chemistry curriculums (OCR, Edexcel, AQA)</w:t>
      </w:r>
    </w:p>
    <w:p w14:paraId="357184C2" w14:textId="77777777" w:rsidR="00003A68" w:rsidRPr="00003A68" w:rsidRDefault="00003A68" w:rsidP="00003A68">
      <w:pPr>
        <w:keepLines w:val="0"/>
        <w:spacing w:before="200" w:after="0"/>
        <w:rPr>
          <w:rFonts w:eastAsia="Times New Roman"/>
          <w:lang w:eastAsia="en-GB"/>
        </w:rPr>
      </w:pPr>
    </w:p>
    <w:tbl>
      <w:tblPr>
        <w:tblW w:w="9878" w:type="dxa"/>
        <w:tblInd w:w="-147" w:type="dxa"/>
        <w:tblLook w:val="04A0" w:firstRow="1" w:lastRow="0" w:firstColumn="1" w:lastColumn="0" w:noHBand="0" w:noVBand="1"/>
      </w:tblPr>
      <w:tblGrid>
        <w:gridCol w:w="916"/>
        <w:gridCol w:w="4755"/>
        <w:gridCol w:w="2693"/>
        <w:gridCol w:w="1514"/>
      </w:tblGrid>
      <w:tr w:rsidR="00003A68" w:rsidRPr="00003A68" w14:paraId="091C9695" w14:textId="77777777" w:rsidTr="00A22FFC">
        <w:trPr>
          <w:trHeight w:val="132"/>
        </w:trPr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EDB72" w14:textId="77777777" w:rsidR="00003A68" w:rsidRPr="00003A68" w:rsidRDefault="00003A68" w:rsidP="00003A68">
            <w:pPr>
              <w:keepLines w:val="0"/>
              <w:spacing w:after="0"/>
              <w:jc w:val="center"/>
              <w:rPr>
                <w:rFonts w:eastAsia="Times New Roman"/>
                <w:lang w:eastAsia="en-GB"/>
              </w:rPr>
            </w:pPr>
            <w:r w:rsidRPr="00003A68">
              <w:rPr>
                <w:rFonts w:eastAsia="Times New Roman"/>
                <w:b/>
                <w:bCs/>
                <w:color w:val="000000"/>
                <w:lang w:eastAsia="en-GB"/>
              </w:rPr>
              <w:t>The rate of hydrolysis of urea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57D80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color w:val="000000"/>
                <w:lang w:eastAsia="en-GB"/>
              </w:rPr>
            </w:pPr>
            <w:r w:rsidRPr="00003A68">
              <w:rPr>
                <w:rFonts w:eastAsia="Times New Roman"/>
                <w:color w:val="000000"/>
                <w:lang w:eastAsia="en-GB"/>
              </w:rPr>
              <w:t>Date:</w:t>
            </w:r>
          </w:p>
        </w:tc>
      </w:tr>
      <w:tr w:rsidR="00003A68" w:rsidRPr="00003A68" w14:paraId="567358D7" w14:textId="77777777" w:rsidTr="00A22FFC">
        <w:trPr>
          <w:trHeight w:val="238"/>
        </w:trPr>
        <w:tc>
          <w:tcPr>
            <w:tcW w:w="9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98801" w14:textId="77777777" w:rsidR="00003A68" w:rsidRPr="00003A68" w:rsidRDefault="00003A68" w:rsidP="00003A68">
            <w:pPr>
              <w:keepNext/>
              <w:spacing w:before="240" w:after="0"/>
              <w:jc w:val="center"/>
              <w:outlineLvl w:val="0"/>
              <w:rPr>
                <w:rFonts w:eastAsia="Times New Roman"/>
                <w:b/>
                <w:bCs/>
                <w:color w:val="2F5496"/>
                <w:lang w:eastAsia="en-GB"/>
              </w:rPr>
            </w:pPr>
            <w:r w:rsidRPr="00003A68">
              <w:rPr>
                <w:rFonts w:eastAsia="Times New Roman"/>
                <w:color w:val="000000"/>
                <w:lang w:eastAsia="en-GB"/>
              </w:rPr>
              <w:t>Apparatus and techniques (AT)</w:t>
            </w:r>
          </w:p>
        </w:tc>
      </w:tr>
      <w:tr w:rsidR="00003A68" w:rsidRPr="00003A68" w14:paraId="5E96AB0C" w14:textId="77777777" w:rsidTr="00A22FFC">
        <w:trPr>
          <w:trHeight w:val="28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41F14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003A68">
              <w:rPr>
                <w:rFonts w:eastAsia="Times New Roman"/>
                <w:b/>
                <w:bCs/>
                <w:color w:val="000000"/>
                <w:lang w:eastAsia="en-GB"/>
              </w:rPr>
              <w:t>Code</w:t>
            </w:r>
          </w:p>
        </w:tc>
        <w:tc>
          <w:tcPr>
            <w:tcW w:w="8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8F61D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003A68">
              <w:rPr>
                <w:rFonts w:eastAsia="Times New Roman"/>
                <w:b/>
                <w:bCs/>
                <w:color w:val="000000"/>
                <w:lang w:eastAsia="en-GB"/>
              </w:rPr>
              <w:t>Description</w:t>
            </w:r>
          </w:p>
        </w:tc>
      </w:tr>
      <w:tr w:rsidR="00003A68" w:rsidRPr="00003A68" w14:paraId="61024C6F" w14:textId="77777777" w:rsidTr="00A22FFC">
        <w:trPr>
          <w:trHeight w:val="189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CD682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7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0953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color w:val="000000"/>
                <w:lang w:eastAsia="en-GB"/>
              </w:rPr>
            </w:pPr>
            <w:r w:rsidRPr="00003A68">
              <w:rPr>
                <w:rFonts w:eastAsia="Times New Roman"/>
                <w:color w:val="000000"/>
                <w:lang w:eastAsia="en-GB"/>
              </w:rPr>
              <w:t>Use appropriate apparatus to record a range of time, volume of liquids measurements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895A8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color w:val="000000"/>
                <w:lang w:eastAsia="en-GB"/>
              </w:rPr>
            </w:pPr>
            <w:r w:rsidRPr="00003A68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003A68" w:rsidRPr="00003A68" w14:paraId="271C20D4" w14:textId="77777777" w:rsidTr="00A22FFC">
        <w:trPr>
          <w:trHeight w:val="321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B2893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7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0589B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color w:val="000000"/>
                <w:lang w:eastAsia="en-GB"/>
              </w:rPr>
            </w:pPr>
            <w:r w:rsidRPr="00003A68">
              <w:rPr>
                <w:rFonts w:eastAsia="Times New Roman"/>
                <w:color w:val="000000"/>
                <w:lang w:eastAsia="en-GB"/>
              </w:rPr>
              <w:t>Use laboratory apparatus for a variety of experimental techniques, including titration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41DE9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003A68" w:rsidRPr="00003A68" w14:paraId="10A9ECF6" w14:textId="77777777" w:rsidTr="00A22FFC">
        <w:trPr>
          <w:trHeight w:val="321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42CCB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7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76865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color w:val="000000"/>
                <w:lang w:eastAsia="en-GB"/>
              </w:rPr>
            </w:pPr>
            <w:r w:rsidRPr="00003A68">
              <w:rPr>
                <w:rFonts w:eastAsia="Times New Roman"/>
                <w:color w:val="000000"/>
                <w:lang w:eastAsia="en-GB"/>
              </w:rPr>
              <w:t>Measure pH using pH meter, or pH probe on a data logger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CE640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003A68" w:rsidRPr="00003A68" w14:paraId="73143A53" w14:textId="77777777" w:rsidTr="00A22FFC">
        <w:trPr>
          <w:trHeight w:val="373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44653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7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AB764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color w:val="000000"/>
                <w:lang w:eastAsia="en-GB"/>
              </w:rPr>
            </w:pPr>
            <w:r w:rsidRPr="00003A68">
              <w:rPr>
                <w:rFonts w:eastAsia="Times New Roman"/>
                <w:color w:val="000000"/>
                <w:lang w:eastAsia="en-GB"/>
              </w:rPr>
              <w:t>Safely and carefully handle solids and liquids, including corrosive, irritant substances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A5DFB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003A68" w:rsidRPr="00003A68" w14:paraId="322BE156" w14:textId="77777777" w:rsidTr="00A22FFC">
        <w:trPr>
          <w:trHeight w:val="394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E81AE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7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1D00B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color w:val="000000"/>
                <w:lang w:eastAsia="en-GB"/>
              </w:rPr>
            </w:pPr>
            <w:r w:rsidRPr="00003A68">
              <w:rPr>
                <w:rFonts w:eastAsia="Times New Roman"/>
                <w:color w:val="000000"/>
                <w:lang w:eastAsia="en-GB"/>
              </w:rPr>
              <w:t>Measure rates of reaction by at least two different methods, for example: an initial rate method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71C0C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003A68" w:rsidRPr="00003A68" w14:paraId="6B0BABB3" w14:textId="77777777" w:rsidTr="00A22FFC">
        <w:trPr>
          <w:trHeight w:val="280"/>
        </w:trPr>
        <w:tc>
          <w:tcPr>
            <w:tcW w:w="9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06626" w14:textId="088178C5" w:rsidR="00003A68" w:rsidRPr="00003A68" w:rsidRDefault="00003A68" w:rsidP="00003A68">
            <w:pPr>
              <w:keepNext/>
              <w:spacing w:before="240" w:after="0"/>
              <w:jc w:val="center"/>
              <w:outlineLvl w:val="0"/>
              <w:rPr>
                <w:rFonts w:eastAsia="Times New Roman"/>
                <w:b/>
                <w:bCs/>
                <w:color w:val="2F5496"/>
                <w:lang w:eastAsia="en-GB"/>
              </w:rPr>
            </w:pPr>
            <w:r w:rsidRPr="00003A68">
              <w:rPr>
                <w:rFonts w:eastAsia="Times New Roman"/>
                <w:color w:val="000000"/>
                <w:lang w:eastAsia="en-GB"/>
              </w:rPr>
              <w:t>Targeted common practical assessment criteria</w:t>
            </w:r>
          </w:p>
        </w:tc>
      </w:tr>
      <w:tr w:rsidR="00003A68" w:rsidRPr="00003A68" w14:paraId="7AA5AB7C" w14:textId="77777777" w:rsidTr="00A22FFC">
        <w:trPr>
          <w:trHeight w:val="269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6E172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003A68">
              <w:rPr>
                <w:rFonts w:eastAsia="Times New Roman"/>
                <w:b/>
                <w:bCs/>
                <w:color w:val="000000"/>
                <w:lang w:eastAsia="en-GB"/>
              </w:rPr>
              <w:t>Code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3B027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003A68">
              <w:rPr>
                <w:rFonts w:eastAsia="Times New Roman"/>
                <w:b/>
                <w:bCs/>
                <w:color w:val="000000"/>
                <w:lang w:eastAsia="en-GB"/>
              </w:rPr>
              <w:t>Description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9848F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003A68">
              <w:rPr>
                <w:rFonts w:eastAsia="Times New Roman"/>
                <w:b/>
                <w:bCs/>
                <w:color w:val="000000"/>
                <w:lang w:eastAsia="en-GB"/>
              </w:rPr>
              <w:t>Evidenced by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F4B39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003A68">
              <w:rPr>
                <w:rFonts w:eastAsia="Times New Roman"/>
                <w:b/>
                <w:bCs/>
                <w:color w:val="000000"/>
                <w:lang w:eastAsia="en-GB"/>
              </w:rPr>
              <w:t>Standard achieved</w:t>
            </w:r>
          </w:p>
        </w:tc>
      </w:tr>
      <w:tr w:rsidR="00003A68" w:rsidRPr="00003A68" w14:paraId="3C4EE1B3" w14:textId="77777777" w:rsidTr="00A22FFC">
        <w:trPr>
          <w:trHeight w:val="56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0B5D3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color w:val="000000"/>
                <w:lang w:eastAsia="en-GB"/>
              </w:rPr>
            </w:pPr>
            <w:r w:rsidRPr="00003A68">
              <w:rPr>
                <w:rFonts w:eastAsia="Times New Roman"/>
                <w:color w:val="000000"/>
                <w:lang w:eastAsia="en-GB"/>
              </w:rPr>
              <w:t>1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C2A34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color w:val="000000"/>
                <w:lang w:eastAsia="en-GB"/>
              </w:rPr>
            </w:pPr>
            <w:r w:rsidRPr="00003A68">
              <w:rPr>
                <w:rFonts w:eastAsia="Times New Roman"/>
                <w:color w:val="000000"/>
                <w:lang w:eastAsia="en-GB"/>
              </w:rPr>
              <w:t>Correctly follows instructions to carry out experimental techniques or procedures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2C02D4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i/>
                <w:iCs/>
                <w:color w:val="FF0000"/>
                <w:lang w:eastAsia="en-GB"/>
              </w:rPr>
            </w:pPr>
            <w:r w:rsidRPr="00003A68">
              <w:rPr>
                <w:rFonts w:eastAsia="Times New Roman"/>
                <w:i/>
                <w:iCs/>
                <w:color w:val="FF0000"/>
                <w:lang w:eastAsia="en-GB"/>
              </w:rPr>
              <w:t>Teacher observation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5551B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color w:val="000000"/>
                <w:lang w:eastAsia="en-GB"/>
              </w:rPr>
            </w:pPr>
            <w:r w:rsidRPr="00003A68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003A68" w:rsidRPr="00003A68" w14:paraId="4F341DE9" w14:textId="77777777" w:rsidTr="00A22FFC">
        <w:trPr>
          <w:trHeight w:val="974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5514A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color w:val="000000"/>
                <w:lang w:eastAsia="en-GB"/>
              </w:rPr>
            </w:pPr>
            <w:r w:rsidRPr="00003A68">
              <w:rPr>
                <w:rFonts w:eastAsia="Times New Roman"/>
                <w:color w:val="000000"/>
                <w:lang w:eastAsia="en-GB"/>
              </w:rPr>
              <w:t>2a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C65BD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color w:val="000000"/>
                <w:lang w:eastAsia="en-GB"/>
              </w:rPr>
            </w:pPr>
            <w:r w:rsidRPr="00003A68">
              <w:rPr>
                <w:rFonts w:eastAsia="Times New Roman"/>
                <w:color w:val="000000"/>
                <w:lang w:eastAsia="en-GB"/>
              </w:rPr>
              <w:t>Correctly uses appropriate instrumentation, apparatus and materials (including ICT) to carry out investigative activities, experimental techniques and procedures with minimal assistance or prompting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57E60B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i/>
                <w:iCs/>
                <w:color w:val="FF0000"/>
                <w:lang w:eastAsia="en-GB"/>
              </w:rPr>
            </w:pPr>
            <w:r w:rsidRPr="00003A68">
              <w:rPr>
                <w:rFonts w:eastAsia="Times New Roman"/>
                <w:i/>
                <w:iCs/>
                <w:color w:val="FF0000"/>
                <w:lang w:eastAsia="en-GB"/>
              </w:rPr>
              <w:t>Teacher observation, verbal questioning during practical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0FA6E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003A68" w:rsidRPr="00003A68" w14:paraId="437ADA24" w14:textId="77777777" w:rsidTr="00A22FFC">
        <w:trPr>
          <w:trHeight w:val="84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C4638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color w:val="000000"/>
                <w:lang w:eastAsia="en-GB"/>
              </w:rPr>
            </w:pPr>
            <w:r w:rsidRPr="00003A68">
              <w:rPr>
                <w:rFonts w:eastAsia="Times New Roman"/>
                <w:color w:val="000000"/>
                <w:lang w:eastAsia="en-GB"/>
              </w:rPr>
              <w:t>2b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E8C43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color w:val="000000"/>
                <w:lang w:eastAsia="en-GB"/>
              </w:rPr>
            </w:pPr>
            <w:r w:rsidRPr="00003A68">
              <w:rPr>
                <w:rFonts w:eastAsia="Times New Roman"/>
                <w:color w:val="000000"/>
                <w:lang w:eastAsia="en-GB"/>
              </w:rPr>
              <w:t>Carries out techniques or procedures methodically, in sequence and in combination, identifying practical issues and making adjustments when necessary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7CFD6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i/>
                <w:iCs/>
                <w:color w:val="FF0000"/>
                <w:lang w:eastAsia="en-GB"/>
              </w:rPr>
            </w:pPr>
            <w:r w:rsidRPr="00003A68">
              <w:rPr>
                <w:rFonts w:eastAsia="Times New Roman"/>
                <w:i/>
                <w:iCs/>
                <w:color w:val="FF0000"/>
                <w:lang w:eastAsia="en-GB"/>
              </w:rPr>
              <w:t>Written question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D3B5A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color w:val="000000"/>
                <w:lang w:eastAsia="en-GB"/>
              </w:rPr>
            </w:pPr>
            <w:r w:rsidRPr="00003A68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003A68" w:rsidRPr="00003A68" w14:paraId="5E51DEB7" w14:textId="77777777" w:rsidTr="00A22FFC">
        <w:trPr>
          <w:trHeight w:val="84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F6706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color w:val="000000"/>
                <w:lang w:eastAsia="en-GB"/>
              </w:rPr>
            </w:pPr>
            <w:r w:rsidRPr="00003A68">
              <w:rPr>
                <w:rFonts w:eastAsia="Times New Roman"/>
                <w:color w:val="000000"/>
                <w:lang w:eastAsia="en-GB"/>
              </w:rPr>
              <w:t>2c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04A1C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color w:val="000000"/>
                <w:lang w:eastAsia="en-GB"/>
              </w:rPr>
            </w:pPr>
            <w:r w:rsidRPr="00003A68">
              <w:rPr>
                <w:rFonts w:eastAsia="Times New Roman"/>
                <w:color w:val="000000"/>
                <w:lang w:eastAsia="en-GB"/>
              </w:rPr>
              <w:t>Identifies and controls significant quantitative variables where applicable and plans approaches to take account of variables that cannot readily be controlled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81AD2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i/>
                <w:iCs/>
                <w:color w:val="FF0000"/>
                <w:lang w:eastAsia="en-GB"/>
              </w:rPr>
            </w:pPr>
            <w:r w:rsidRPr="00003A68">
              <w:rPr>
                <w:rFonts w:eastAsia="Times New Roman"/>
                <w:i/>
                <w:iCs/>
                <w:color w:val="FF0000"/>
                <w:lang w:eastAsia="en-GB"/>
              </w:rPr>
              <w:t xml:space="preserve">Written question, teacher observation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9AD81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color w:val="000000"/>
                <w:lang w:eastAsia="en-GB"/>
              </w:rPr>
            </w:pPr>
            <w:r w:rsidRPr="00003A68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003A68" w:rsidRPr="00003A68" w14:paraId="2ACC50D3" w14:textId="77777777" w:rsidTr="00A22FFC">
        <w:trPr>
          <w:trHeight w:val="609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9FCCF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color w:val="000000"/>
                <w:lang w:eastAsia="en-GB"/>
              </w:rPr>
            </w:pPr>
            <w:r w:rsidRPr="00003A68">
              <w:rPr>
                <w:rFonts w:eastAsia="Times New Roman"/>
                <w:color w:val="000000"/>
                <w:lang w:eastAsia="en-GB"/>
              </w:rPr>
              <w:t>2d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43B03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color w:val="000000"/>
                <w:lang w:eastAsia="en-GB"/>
              </w:rPr>
            </w:pPr>
            <w:r w:rsidRPr="00003A68">
              <w:rPr>
                <w:rFonts w:eastAsia="Times New Roman"/>
                <w:color w:val="000000"/>
                <w:lang w:eastAsia="en-GB"/>
              </w:rPr>
              <w:t>Selects appropriate equipment and measurement strategies in order to ensure suitably accurate results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8A335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i/>
                <w:iCs/>
                <w:color w:val="FF0000"/>
                <w:lang w:eastAsia="en-GB"/>
              </w:rPr>
            </w:pPr>
            <w:r w:rsidRPr="00003A68">
              <w:rPr>
                <w:rFonts w:eastAsia="Times New Roman"/>
                <w:i/>
                <w:iCs/>
                <w:color w:val="FF0000"/>
                <w:lang w:eastAsia="en-GB"/>
              </w:rPr>
              <w:t>Teacher observation or written equipment list with justification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9D5D0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color w:val="000000"/>
                <w:lang w:eastAsia="en-GB"/>
              </w:rPr>
            </w:pPr>
            <w:r w:rsidRPr="00003A68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003A68" w:rsidRPr="00003A68" w14:paraId="049BE34A" w14:textId="77777777" w:rsidTr="00A22FFC">
        <w:trPr>
          <w:trHeight w:val="84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57FD5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color w:val="000000"/>
                <w:lang w:eastAsia="en-GB"/>
              </w:rPr>
            </w:pPr>
            <w:r w:rsidRPr="00003A68">
              <w:rPr>
                <w:rFonts w:eastAsia="Times New Roman"/>
                <w:color w:val="000000"/>
                <w:lang w:eastAsia="en-GB"/>
              </w:rPr>
              <w:t>3a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61A62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color w:val="000000"/>
                <w:lang w:eastAsia="en-GB"/>
              </w:rPr>
            </w:pPr>
            <w:r w:rsidRPr="00003A68">
              <w:rPr>
                <w:rFonts w:eastAsia="Times New Roman"/>
                <w:color w:val="000000"/>
                <w:lang w:eastAsia="en-GB"/>
              </w:rPr>
              <w:t>Identifies hazards and assesses risks associated with these hazards, making safety adjustments as necessary, when carrying out experimental techniques and procedures in the lab or field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EF78C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i/>
                <w:iCs/>
                <w:color w:val="FF0000"/>
                <w:lang w:eastAsia="en-GB"/>
              </w:rPr>
            </w:pPr>
            <w:r w:rsidRPr="00003A68">
              <w:rPr>
                <w:rFonts w:eastAsia="Times New Roman"/>
                <w:i/>
                <w:iCs/>
                <w:color w:val="FF0000"/>
                <w:lang w:eastAsia="en-GB"/>
              </w:rPr>
              <w:t>Hazards and precautions identified – written question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B7673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color w:val="000000"/>
                <w:lang w:eastAsia="en-GB"/>
              </w:rPr>
            </w:pPr>
            <w:r w:rsidRPr="00003A68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003A68" w:rsidRPr="00003A68" w14:paraId="2B144422" w14:textId="77777777" w:rsidTr="00A22FFC">
        <w:trPr>
          <w:trHeight w:val="489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B2DBA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color w:val="000000"/>
                <w:lang w:eastAsia="en-GB"/>
              </w:rPr>
            </w:pPr>
            <w:r w:rsidRPr="00003A68">
              <w:rPr>
                <w:rFonts w:eastAsia="Times New Roman"/>
                <w:color w:val="000000"/>
                <w:lang w:eastAsia="en-GB"/>
              </w:rPr>
              <w:t>3b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619FB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color w:val="000000"/>
                <w:lang w:eastAsia="en-GB"/>
              </w:rPr>
            </w:pPr>
            <w:r w:rsidRPr="00003A68">
              <w:rPr>
                <w:rFonts w:eastAsia="Times New Roman"/>
                <w:color w:val="000000"/>
                <w:lang w:eastAsia="en-GB"/>
              </w:rPr>
              <w:t>Uses appropriate safety equipment and approaches to minimise risks with minimal prompting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F6AC2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i/>
                <w:iCs/>
                <w:color w:val="FF0000"/>
                <w:lang w:eastAsia="en-GB"/>
              </w:rPr>
            </w:pPr>
            <w:r w:rsidRPr="00003A68">
              <w:rPr>
                <w:rFonts w:eastAsia="Times New Roman"/>
                <w:i/>
                <w:iCs/>
                <w:color w:val="FF0000"/>
                <w:lang w:eastAsia="en-GB"/>
              </w:rPr>
              <w:t>Teacher observation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F4D47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003A68" w:rsidRPr="00003A68" w14:paraId="6D4C9A0A" w14:textId="77777777" w:rsidTr="00A22FFC">
        <w:trPr>
          <w:trHeight w:val="56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68DB0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color w:val="000000"/>
                <w:lang w:eastAsia="en-GB"/>
              </w:rPr>
            </w:pPr>
            <w:r w:rsidRPr="00003A68">
              <w:rPr>
                <w:rFonts w:eastAsia="Times New Roman"/>
                <w:color w:val="000000"/>
                <w:lang w:eastAsia="en-GB"/>
              </w:rPr>
              <w:t>4a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681C4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color w:val="000000"/>
                <w:lang w:eastAsia="en-GB"/>
              </w:rPr>
            </w:pPr>
            <w:r w:rsidRPr="00003A68">
              <w:rPr>
                <w:rFonts w:eastAsia="Times New Roman"/>
                <w:color w:val="000000"/>
                <w:lang w:eastAsia="en-GB"/>
              </w:rPr>
              <w:t xml:space="preserve">Makes accurate observations relevant to the experimental or investigative procedure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CF419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i/>
                <w:iCs/>
                <w:color w:val="FF0000"/>
                <w:lang w:eastAsia="en-GB"/>
              </w:rPr>
            </w:pPr>
            <w:r w:rsidRPr="00003A68">
              <w:rPr>
                <w:rFonts w:eastAsia="Times New Roman"/>
                <w:i/>
                <w:iCs/>
                <w:color w:val="FF0000"/>
                <w:lang w:eastAsia="en-GB"/>
              </w:rPr>
              <w:t>Completed results chart showing accuracy for results. Look at this holistically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D5040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color w:val="000000"/>
                <w:lang w:eastAsia="en-GB"/>
              </w:rPr>
            </w:pPr>
            <w:r w:rsidRPr="00003A68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003A68" w:rsidRPr="00003A68" w14:paraId="00EFB35A" w14:textId="77777777" w:rsidTr="00A22FFC">
        <w:trPr>
          <w:trHeight w:val="56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E55F7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color w:val="000000"/>
                <w:lang w:eastAsia="en-GB"/>
              </w:rPr>
            </w:pPr>
            <w:r w:rsidRPr="00003A68">
              <w:rPr>
                <w:rFonts w:eastAsia="Times New Roman"/>
                <w:color w:val="000000"/>
                <w:lang w:eastAsia="en-GB"/>
              </w:rPr>
              <w:t>4b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4A099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color w:val="FF0000"/>
                <w:lang w:eastAsia="en-GB"/>
              </w:rPr>
            </w:pPr>
            <w:r w:rsidRPr="00003A68">
              <w:rPr>
                <w:rFonts w:eastAsia="Times New Roman"/>
                <w:color w:val="000000"/>
                <w:lang w:eastAsia="en-GB"/>
              </w:rPr>
              <w:t xml:space="preserve">Obtains accurate, precise and sufficient data for experimental and investigative procedures and </w:t>
            </w:r>
            <w:r w:rsidRPr="00003A68">
              <w:rPr>
                <w:rFonts w:eastAsia="Times New Roman"/>
                <w:color w:val="000000"/>
                <w:lang w:eastAsia="en-GB"/>
              </w:rPr>
              <w:lastRenderedPageBreak/>
              <w:t>records this methodically using appropriate units and conventions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1EC72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i/>
                <w:iCs/>
                <w:color w:val="FF0000"/>
                <w:lang w:eastAsia="en-GB"/>
              </w:rPr>
            </w:pPr>
            <w:r w:rsidRPr="00003A68">
              <w:rPr>
                <w:rFonts w:eastAsia="Times New Roman"/>
                <w:i/>
                <w:iCs/>
                <w:color w:val="FF0000"/>
                <w:lang w:eastAsia="en-GB"/>
              </w:rPr>
              <w:lastRenderedPageBreak/>
              <w:t xml:space="preserve">Complete results chart, with correct title and units containing accurate results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8833F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color w:val="000000"/>
                <w:lang w:eastAsia="en-GB"/>
              </w:rPr>
            </w:pPr>
            <w:r w:rsidRPr="00003A68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003A68" w:rsidRPr="00003A68" w14:paraId="2DA3C4AD" w14:textId="77777777" w:rsidTr="00A22FFC">
        <w:trPr>
          <w:trHeight w:val="56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0354B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color w:val="000000"/>
                <w:lang w:eastAsia="en-GB"/>
              </w:rPr>
            </w:pPr>
            <w:r w:rsidRPr="00003A68">
              <w:rPr>
                <w:rFonts w:eastAsia="Times New Roman"/>
                <w:color w:val="000000"/>
                <w:lang w:eastAsia="en-GB"/>
              </w:rPr>
              <w:t>5a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92BE9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color w:val="000000"/>
                <w:lang w:eastAsia="en-GB"/>
              </w:rPr>
            </w:pPr>
            <w:r w:rsidRPr="00003A68">
              <w:rPr>
                <w:rFonts w:eastAsia="Times New Roman"/>
                <w:color w:val="000000"/>
                <w:lang w:eastAsia="en-GB"/>
              </w:rPr>
              <w:t xml:space="preserve">Uses appropriate software and/or tools to process data, carry out research and report findings.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6416B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i/>
                <w:iCs/>
                <w:color w:val="FF0000"/>
                <w:lang w:eastAsia="en-GB"/>
              </w:rPr>
            </w:pPr>
            <w:r w:rsidRPr="00003A68">
              <w:rPr>
                <w:rFonts w:eastAsia="Times New Roman"/>
                <w:i/>
                <w:iCs/>
                <w:color w:val="FF0000"/>
                <w:lang w:eastAsia="en-GB"/>
              </w:rPr>
              <w:t>Correctly drawn graph. Calculations leading to conclusion based on results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88C87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color w:val="000000"/>
                <w:lang w:eastAsia="en-GB"/>
              </w:rPr>
            </w:pPr>
            <w:r w:rsidRPr="00003A68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003A68" w:rsidRPr="00003A68" w14:paraId="313C2553" w14:textId="77777777" w:rsidTr="00A22FFC">
        <w:trPr>
          <w:trHeight w:val="494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CEC12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color w:val="000000"/>
                <w:lang w:eastAsia="en-GB"/>
              </w:rPr>
            </w:pPr>
            <w:r w:rsidRPr="00003A68">
              <w:rPr>
                <w:rFonts w:eastAsia="Times New Roman"/>
                <w:color w:val="000000"/>
                <w:lang w:eastAsia="en-GB"/>
              </w:rPr>
              <w:t>5b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97CD4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color w:val="000000"/>
                <w:lang w:eastAsia="en-GB"/>
              </w:rPr>
            </w:pPr>
            <w:r w:rsidRPr="00003A68">
              <w:rPr>
                <w:rFonts w:eastAsia="Times New Roman"/>
                <w:color w:val="000000"/>
                <w:lang w:eastAsia="en-GB"/>
              </w:rPr>
              <w:t>Cites sources of information demonstrating that research has taken place, supporting planning and conclusions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6A875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i/>
                <w:iCs/>
                <w:color w:val="FF0000"/>
                <w:lang w:eastAsia="en-GB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9695E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003A68" w:rsidRPr="00003A68" w14:paraId="5B38FCAE" w14:textId="77777777" w:rsidTr="00A22FFC">
        <w:trPr>
          <w:trHeight w:val="778"/>
        </w:trPr>
        <w:tc>
          <w:tcPr>
            <w:tcW w:w="9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0A363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color w:val="000000"/>
                <w:lang w:eastAsia="en-GB"/>
              </w:rPr>
            </w:pPr>
            <w:r w:rsidRPr="00003A68">
              <w:rPr>
                <w:rFonts w:eastAsia="Times New Roman"/>
                <w:color w:val="000000"/>
                <w:lang w:eastAsia="en-GB"/>
              </w:rPr>
              <w:t>Teacher/Student targets from practical:</w:t>
            </w:r>
          </w:p>
        </w:tc>
      </w:tr>
      <w:tr w:rsidR="00003A68" w:rsidRPr="00003A68" w14:paraId="79ED828F" w14:textId="77777777" w:rsidTr="00A22FFC">
        <w:trPr>
          <w:trHeight w:val="300"/>
        </w:trPr>
        <w:tc>
          <w:tcPr>
            <w:tcW w:w="98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44298D2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i/>
                <w:iCs/>
                <w:color w:val="000000"/>
                <w:lang w:eastAsia="en-GB"/>
              </w:rPr>
            </w:pPr>
            <w:r w:rsidRPr="00003A68">
              <w:rPr>
                <w:rFonts w:eastAsia="Times New Roman"/>
                <w:i/>
                <w:iCs/>
                <w:color w:val="000000"/>
                <w:lang w:eastAsia="en-GB"/>
              </w:rPr>
              <w:t xml:space="preserve">Note: for a learner to have achieved total competency in a skill, they need to have achieved that common practical assessment criteria a number of times across a number of </w:t>
            </w:r>
            <w:proofErr w:type="spellStart"/>
            <w:r w:rsidRPr="00003A68">
              <w:rPr>
                <w:rFonts w:eastAsia="Times New Roman"/>
                <w:i/>
                <w:iCs/>
                <w:color w:val="000000"/>
                <w:lang w:eastAsia="en-GB"/>
              </w:rPr>
              <w:t>practicals</w:t>
            </w:r>
            <w:proofErr w:type="spellEnd"/>
            <w:r w:rsidRPr="00003A68">
              <w:rPr>
                <w:rFonts w:eastAsia="Times New Roman"/>
                <w:i/>
                <w:iCs/>
                <w:color w:val="000000"/>
                <w:lang w:eastAsia="en-GB"/>
              </w:rPr>
              <w:t xml:space="preserve"> during the two years of an A Level chemistry course.</w:t>
            </w:r>
          </w:p>
        </w:tc>
      </w:tr>
    </w:tbl>
    <w:p w14:paraId="27B692B9" w14:textId="77777777" w:rsidR="00003A68" w:rsidRPr="00003A68" w:rsidRDefault="00003A68" w:rsidP="00003A68">
      <w:pPr>
        <w:keepLines w:val="0"/>
        <w:spacing w:after="0"/>
        <w:rPr>
          <w:rFonts w:eastAsia="Times New Roman"/>
          <w:lang w:eastAsia="en-GB"/>
        </w:rPr>
      </w:pPr>
    </w:p>
    <w:p w14:paraId="222796E7" w14:textId="77777777" w:rsidR="00003A68" w:rsidRPr="00003A68" w:rsidRDefault="00003A68" w:rsidP="00003A68">
      <w:pPr>
        <w:keepLines w:val="0"/>
        <w:spacing w:after="0"/>
        <w:rPr>
          <w:rFonts w:eastAsia="Times New Roman"/>
          <w:lang w:eastAsia="en-GB"/>
        </w:rPr>
      </w:pPr>
    </w:p>
    <w:p w14:paraId="63D4F1A2" w14:textId="77777777" w:rsidR="00003A68" w:rsidRPr="00003A68" w:rsidRDefault="00003A68" w:rsidP="00003A68">
      <w:pPr>
        <w:keepLines w:val="0"/>
        <w:spacing w:after="0"/>
        <w:rPr>
          <w:rFonts w:eastAsia="Times New Roman"/>
          <w:lang w:eastAsia="en-GB"/>
        </w:rPr>
      </w:pPr>
    </w:p>
    <w:p w14:paraId="7B46CC42" w14:textId="77777777" w:rsidR="00003A68" w:rsidRPr="00003A68" w:rsidRDefault="00003A68" w:rsidP="00003A68">
      <w:pPr>
        <w:keepNext/>
        <w:spacing w:before="360" w:after="0"/>
        <w:outlineLvl w:val="1"/>
        <w:rPr>
          <w:rFonts w:eastAsia="Calibri"/>
          <w:b/>
          <w:color w:val="2C4D67"/>
        </w:rPr>
      </w:pPr>
      <w:r w:rsidRPr="00003A68">
        <w:rPr>
          <w:rFonts w:eastAsia="Calibri"/>
          <w:b/>
          <w:color w:val="2C4D67"/>
        </w:rPr>
        <w:t>Teacher observation check list</w:t>
      </w:r>
    </w:p>
    <w:p w14:paraId="6616FC35" w14:textId="77777777" w:rsidR="00003A68" w:rsidRPr="00003A68" w:rsidRDefault="00003A68" w:rsidP="00003A68">
      <w:pPr>
        <w:keepLines w:val="0"/>
        <w:spacing w:after="0"/>
        <w:rPr>
          <w:rFonts w:eastAsia="Calibri"/>
        </w:rPr>
      </w:pPr>
      <w:r w:rsidRPr="00003A68">
        <w:rPr>
          <w:rFonts w:eastAsia="Calibri"/>
        </w:rPr>
        <w:t>Suggested format for teacher observation check list to assess CPACs visually during the lesson.</w:t>
      </w:r>
    </w:p>
    <w:p w14:paraId="1AD65D64" w14:textId="77777777" w:rsidR="00003A68" w:rsidRPr="00003A68" w:rsidRDefault="00003A68" w:rsidP="00003A68">
      <w:pPr>
        <w:keepLines w:val="0"/>
        <w:spacing w:after="0"/>
        <w:rPr>
          <w:rFonts w:eastAsia="Times New Roman"/>
          <w:lang w:eastAsia="en-GB"/>
        </w:rPr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166"/>
        <w:gridCol w:w="1189"/>
        <w:gridCol w:w="1162"/>
        <w:gridCol w:w="1432"/>
        <w:gridCol w:w="850"/>
        <w:gridCol w:w="851"/>
        <w:gridCol w:w="1417"/>
      </w:tblGrid>
      <w:tr w:rsidR="00003A68" w:rsidRPr="00003A68" w14:paraId="5928091A" w14:textId="77777777" w:rsidTr="00A22FFC">
        <w:tc>
          <w:tcPr>
            <w:tcW w:w="2166" w:type="dxa"/>
            <w:vMerge w:val="restart"/>
          </w:tcPr>
          <w:p w14:paraId="2CC97A87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lang w:eastAsia="en-GB"/>
              </w:rPr>
            </w:pPr>
            <w:r w:rsidRPr="00003A68">
              <w:rPr>
                <w:rFonts w:eastAsia="Times New Roman"/>
                <w:lang w:eastAsia="en-GB"/>
              </w:rPr>
              <w:t>CPAC</w:t>
            </w:r>
          </w:p>
          <w:p w14:paraId="486E6588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lang w:eastAsia="en-GB"/>
              </w:rPr>
            </w:pPr>
            <w:r w:rsidRPr="00003A68">
              <w:rPr>
                <w:rFonts w:eastAsia="Times New Roman"/>
                <w:lang w:eastAsia="en-GB"/>
              </w:rPr>
              <w:t>Date:</w:t>
            </w:r>
          </w:p>
          <w:p w14:paraId="4E3A001A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lang w:eastAsia="en-GB"/>
              </w:rPr>
            </w:pPr>
            <w:r w:rsidRPr="00003A68">
              <w:rPr>
                <w:rFonts w:eastAsia="Times New Roman"/>
                <w:lang w:eastAsia="en-GB"/>
              </w:rPr>
              <w:t>Practical:</w:t>
            </w:r>
          </w:p>
          <w:p w14:paraId="2222BC4A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lang w:eastAsia="en-GB"/>
              </w:rPr>
            </w:pPr>
          </w:p>
          <w:p w14:paraId="299E2A5E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lang w:eastAsia="en-GB"/>
              </w:rPr>
            </w:pPr>
            <w:r w:rsidRPr="00003A68">
              <w:rPr>
                <w:rFonts w:eastAsia="Times New Roman"/>
                <w:lang w:eastAsia="en-GB"/>
              </w:rPr>
              <w:t>Name:</w:t>
            </w:r>
          </w:p>
        </w:tc>
        <w:tc>
          <w:tcPr>
            <w:tcW w:w="1189" w:type="dxa"/>
            <w:vMerge w:val="restart"/>
          </w:tcPr>
          <w:p w14:paraId="33CC1691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lang w:eastAsia="en-GB"/>
              </w:rPr>
            </w:pPr>
            <w:r w:rsidRPr="00003A68">
              <w:rPr>
                <w:rFonts w:eastAsia="Times New Roman"/>
                <w:lang w:eastAsia="en-GB"/>
              </w:rPr>
              <w:t>1a</w:t>
            </w:r>
          </w:p>
          <w:p w14:paraId="378A77EB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lang w:eastAsia="en-GB"/>
              </w:rPr>
            </w:pPr>
            <w:r w:rsidRPr="00003A68">
              <w:rPr>
                <w:rFonts w:eastAsia="Times New Roman"/>
                <w:lang w:eastAsia="en-GB"/>
              </w:rPr>
              <w:t>Correctly follows instruction</w:t>
            </w:r>
          </w:p>
        </w:tc>
        <w:tc>
          <w:tcPr>
            <w:tcW w:w="1162" w:type="dxa"/>
            <w:vMerge w:val="restart"/>
          </w:tcPr>
          <w:p w14:paraId="56273189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lang w:eastAsia="en-GB"/>
              </w:rPr>
            </w:pPr>
            <w:r w:rsidRPr="00003A68">
              <w:rPr>
                <w:rFonts w:eastAsia="Times New Roman"/>
                <w:lang w:eastAsia="en-GB"/>
              </w:rPr>
              <w:t>2a</w:t>
            </w:r>
          </w:p>
          <w:p w14:paraId="38A43354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lang w:eastAsia="en-GB"/>
              </w:rPr>
            </w:pPr>
            <w:r w:rsidRPr="00003A68">
              <w:rPr>
                <w:rFonts w:eastAsia="Times New Roman"/>
                <w:lang w:eastAsia="en-GB"/>
              </w:rPr>
              <w:t>Correctly uses apparatus</w:t>
            </w:r>
          </w:p>
        </w:tc>
        <w:tc>
          <w:tcPr>
            <w:tcW w:w="1432" w:type="dxa"/>
            <w:vMerge w:val="restart"/>
          </w:tcPr>
          <w:p w14:paraId="0E520033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lang w:eastAsia="en-GB"/>
              </w:rPr>
            </w:pPr>
            <w:r w:rsidRPr="00003A68">
              <w:rPr>
                <w:rFonts w:eastAsia="Times New Roman"/>
                <w:lang w:eastAsia="en-GB"/>
              </w:rPr>
              <w:t>2d</w:t>
            </w:r>
          </w:p>
          <w:p w14:paraId="7ADE6077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lang w:eastAsia="en-GB"/>
              </w:rPr>
            </w:pPr>
            <w:r w:rsidRPr="00003A68">
              <w:rPr>
                <w:rFonts w:eastAsia="Times New Roman"/>
                <w:lang w:eastAsia="en-GB"/>
              </w:rPr>
              <w:t>Selects appropriate equipment</w:t>
            </w:r>
          </w:p>
        </w:tc>
        <w:tc>
          <w:tcPr>
            <w:tcW w:w="3118" w:type="dxa"/>
            <w:gridSpan w:val="3"/>
          </w:tcPr>
          <w:p w14:paraId="4027C16C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lang w:eastAsia="en-GB"/>
              </w:rPr>
            </w:pPr>
            <w:r w:rsidRPr="00003A68">
              <w:rPr>
                <w:rFonts w:eastAsia="Times New Roman"/>
                <w:lang w:eastAsia="en-GB"/>
              </w:rPr>
              <w:t>3b</w:t>
            </w:r>
          </w:p>
          <w:p w14:paraId="50342061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lang w:eastAsia="en-GB"/>
              </w:rPr>
            </w:pPr>
            <w:r w:rsidRPr="00003A68">
              <w:rPr>
                <w:rFonts w:eastAsia="Times New Roman"/>
                <w:lang w:eastAsia="en-GB"/>
              </w:rPr>
              <w:t>Appropriate safety</w:t>
            </w:r>
          </w:p>
          <w:p w14:paraId="7ACB0266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lang w:eastAsia="en-GB"/>
              </w:rPr>
            </w:pPr>
          </w:p>
        </w:tc>
      </w:tr>
      <w:tr w:rsidR="00003A68" w:rsidRPr="00003A68" w14:paraId="1A44322A" w14:textId="77777777" w:rsidTr="00A22FFC">
        <w:tc>
          <w:tcPr>
            <w:tcW w:w="2166" w:type="dxa"/>
            <w:vMerge/>
          </w:tcPr>
          <w:p w14:paraId="6FF202A2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lang w:eastAsia="en-GB"/>
              </w:rPr>
            </w:pPr>
          </w:p>
        </w:tc>
        <w:tc>
          <w:tcPr>
            <w:tcW w:w="1189" w:type="dxa"/>
            <w:vMerge/>
          </w:tcPr>
          <w:p w14:paraId="325BF90A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lang w:eastAsia="en-GB"/>
              </w:rPr>
            </w:pPr>
          </w:p>
        </w:tc>
        <w:tc>
          <w:tcPr>
            <w:tcW w:w="1162" w:type="dxa"/>
            <w:vMerge/>
          </w:tcPr>
          <w:p w14:paraId="0D6DB599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lang w:eastAsia="en-GB"/>
              </w:rPr>
            </w:pPr>
          </w:p>
        </w:tc>
        <w:tc>
          <w:tcPr>
            <w:tcW w:w="1432" w:type="dxa"/>
            <w:vMerge/>
          </w:tcPr>
          <w:p w14:paraId="44DC7491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lang w:eastAsia="en-GB"/>
              </w:rPr>
            </w:pPr>
          </w:p>
        </w:tc>
        <w:tc>
          <w:tcPr>
            <w:tcW w:w="850" w:type="dxa"/>
          </w:tcPr>
          <w:p w14:paraId="5870AB2D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 w:rsidRPr="00003A68">
              <w:rPr>
                <w:rFonts w:eastAsia="Times New Roman"/>
                <w:sz w:val="16"/>
                <w:szCs w:val="16"/>
                <w:lang w:eastAsia="en-GB"/>
              </w:rPr>
              <w:t>Goggles</w:t>
            </w:r>
          </w:p>
        </w:tc>
        <w:tc>
          <w:tcPr>
            <w:tcW w:w="851" w:type="dxa"/>
          </w:tcPr>
          <w:p w14:paraId="7563C8A4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 w:rsidRPr="00003A68">
              <w:rPr>
                <w:rFonts w:eastAsia="Times New Roman"/>
                <w:sz w:val="16"/>
                <w:szCs w:val="16"/>
                <w:lang w:eastAsia="en-GB"/>
              </w:rPr>
              <w:t>Pipette</w:t>
            </w:r>
          </w:p>
        </w:tc>
        <w:tc>
          <w:tcPr>
            <w:tcW w:w="1417" w:type="dxa"/>
          </w:tcPr>
          <w:p w14:paraId="10153FFB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sz w:val="16"/>
                <w:szCs w:val="16"/>
                <w:lang w:eastAsia="en-GB"/>
              </w:rPr>
            </w:pPr>
            <w:r w:rsidRPr="00003A68">
              <w:rPr>
                <w:rFonts w:eastAsia="Times New Roman"/>
                <w:sz w:val="16"/>
                <w:szCs w:val="16"/>
                <w:lang w:eastAsia="en-GB"/>
              </w:rPr>
              <w:t>Burette</w:t>
            </w:r>
          </w:p>
        </w:tc>
      </w:tr>
      <w:tr w:rsidR="00003A68" w:rsidRPr="00003A68" w14:paraId="0404E5C2" w14:textId="77777777" w:rsidTr="00A22FFC">
        <w:trPr>
          <w:trHeight w:val="934"/>
        </w:trPr>
        <w:tc>
          <w:tcPr>
            <w:tcW w:w="2166" w:type="dxa"/>
          </w:tcPr>
          <w:p w14:paraId="45452EA7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lang w:eastAsia="en-GB"/>
              </w:rPr>
            </w:pPr>
          </w:p>
        </w:tc>
        <w:tc>
          <w:tcPr>
            <w:tcW w:w="1189" w:type="dxa"/>
          </w:tcPr>
          <w:p w14:paraId="0A1B9BC1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lang w:eastAsia="en-GB"/>
              </w:rPr>
            </w:pPr>
          </w:p>
        </w:tc>
        <w:tc>
          <w:tcPr>
            <w:tcW w:w="1162" w:type="dxa"/>
          </w:tcPr>
          <w:p w14:paraId="603301D8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lang w:eastAsia="en-GB"/>
              </w:rPr>
            </w:pPr>
          </w:p>
        </w:tc>
        <w:tc>
          <w:tcPr>
            <w:tcW w:w="1432" w:type="dxa"/>
          </w:tcPr>
          <w:p w14:paraId="1FDAA74B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lang w:eastAsia="en-GB"/>
              </w:rPr>
            </w:pPr>
          </w:p>
        </w:tc>
        <w:tc>
          <w:tcPr>
            <w:tcW w:w="850" w:type="dxa"/>
          </w:tcPr>
          <w:p w14:paraId="2250AA56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lang w:eastAsia="en-GB"/>
              </w:rPr>
            </w:pPr>
          </w:p>
        </w:tc>
        <w:tc>
          <w:tcPr>
            <w:tcW w:w="851" w:type="dxa"/>
          </w:tcPr>
          <w:p w14:paraId="0BA360AA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lang w:eastAsia="en-GB"/>
              </w:rPr>
            </w:pPr>
          </w:p>
        </w:tc>
        <w:tc>
          <w:tcPr>
            <w:tcW w:w="1417" w:type="dxa"/>
          </w:tcPr>
          <w:p w14:paraId="15C00ECF" w14:textId="77777777" w:rsidR="00003A68" w:rsidRPr="00003A68" w:rsidRDefault="00003A68" w:rsidP="00003A68">
            <w:pPr>
              <w:keepLines w:val="0"/>
              <w:spacing w:after="0"/>
              <w:rPr>
                <w:rFonts w:eastAsia="Times New Roman"/>
                <w:lang w:eastAsia="en-GB"/>
              </w:rPr>
            </w:pPr>
          </w:p>
        </w:tc>
      </w:tr>
    </w:tbl>
    <w:p w14:paraId="4AEEECB0" w14:textId="77777777" w:rsidR="00003A68" w:rsidRPr="00003A68" w:rsidRDefault="00003A68" w:rsidP="00003A68">
      <w:pPr>
        <w:keepLines w:val="0"/>
        <w:spacing w:after="0"/>
        <w:rPr>
          <w:rFonts w:eastAsia="Times New Roman"/>
          <w:lang w:eastAsia="en-GB"/>
        </w:rPr>
      </w:pPr>
    </w:p>
    <w:p w14:paraId="416654EB" w14:textId="0EE7F749" w:rsidR="007705C4" w:rsidRPr="00003A68" w:rsidRDefault="007705C4" w:rsidP="00003A68"/>
    <w:sectPr w:rsidR="007705C4" w:rsidRPr="00003A68" w:rsidSect="00042CA7">
      <w:footerReference w:type="default" r:id="rId12"/>
      <w:headerReference w:type="first" r:id="rId13"/>
      <w:footerReference w:type="first" r:id="rId14"/>
      <w:type w:val="continuous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9ACA86" w14:textId="77777777" w:rsidR="003B48C2" w:rsidRDefault="003B48C2" w:rsidP="000D3D40">
      <w:r>
        <w:separator/>
      </w:r>
    </w:p>
  </w:endnote>
  <w:endnote w:type="continuationSeparator" w:id="0">
    <w:p w14:paraId="7CF5835E" w14:textId="77777777" w:rsidR="003B48C2" w:rsidRDefault="003B48C2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2" w14:textId="553BCF27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813D0B">
      <w:rPr>
        <w:noProof/>
        <w:sz w:val="16"/>
      </w:rPr>
      <w:t>4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813D0B">
      <w:rPr>
        <w:noProof/>
        <w:sz w:val="16"/>
      </w:rPr>
      <w:t>5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4" w14:textId="42EF9EFF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813D0B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813D0B">
      <w:rPr>
        <w:noProof/>
        <w:sz w:val="16"/>
      </w:rPr>
      <w:t>1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DD0390" w14:textId="77777777" w:rsidR="003B48C2" w:rsidRDefault="003B48C2" w:rsidP="000D3D40">
      <w:r>
        <w:separator/>
      </w:r>
    </w:p>
  </w:footnote>
  <w:footnote w:type="continuationSeparator" w:id="0">
    <w:p w14:paraId="40D47664" w14:textId="77777777" w:rsidR="003B48C2" w:rsidRDefault="003B48C2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3" w14:textId="650421A1" w:rsidR="00343CBA" w:rsidRDefault="005414C3" w:rsidP="005414C3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E7168"/>
    <w:multiLevelType w:val="hybridMultilevel"/>
    <w:tmpl w:val="ADF4E908"/>
    <w:lvl w:ilvl="0" w:tplc="9198F466">
      <w:start w:val="1"/>
      <w:numFmt w:val="lowerLetter"/>
      <w:lvlText w:val="%1)"/>
      <w:lvlJc w:val="left"/>
      <w:pPr>
        <w:ind w:left="420" w:hanging="360"/>
      </w:pPr>
      <w:rPr>
        <w:rFonts w:ascii="Arial" w:hAnsi="Arial" w:cs="Aria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AC6441F"/>
    <w:multiLevelType w:val="hybridMultilevel"/>
    <w:tmpl w:val="3894E4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C092D"/>
    <w:multiLevelType w:val="hybridMultilevel"/>
    <w:tmpl w:val="822C4B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A7795F"/>
    <w:multiLevelType w:val="hybridMultilevel"/>
    <w:tmpl w:val="A6220C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56AEE"/>
    <w:multiLevelType w:val="hybridMultilevel"/>
    <w:tmpl w:val="E7263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23BAF"/>
    <w:multiLevelType w:val="hybridMultilevel"/>
    <w:tmpl w:val="81AAFF90"/>
    <w:lvl w:ilvl="0" w:tplc="D93A2F30">
      <w:start w:val="1"/>
      <w:numFmt w:val="decimal"/>
      <w:pStyle w:val="Numberedlist"/>
      <w:lvlText w:val="%1."/>
      <w:lvlJc w:val="left"/>
      <w:pPr>
        <w:ind w:left="36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D217F5"/>
    <w:multiLevelType w:val="hybridMultilevel"/>
    <w:tmpl w:val="B082FB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43F729D"/>
    <w:multiLevelType w:val="hybridMultilevel"/>
    <w:tmpl w:val="A0BE0F90"/>
    <w:lvl w:ilvl="0" w:tplc="6C02E9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8930F1"/>
    <w:multiLevelType w:val="hybridMultilevel"/>
    <w:tmpl w:val="72A815F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0"/>
  </w:num>
  <w:num w:numId="5">
    <w:abstractNumId w:val="9"/>
    <w:lvlOverride w:ilvl="0">
      <w:startOverride w:val="2"/>
    </w:lvlOverride>
  </w:num>
  <w:num w:numId="6">
    <w:abstractNumId w:val="8"/>
  </w:num>
  <w:num w:numId="7">
    <w:abstractNumId w:val="3"/>
  </w:num>
  <w:num w:numId="8">
    <w:abstractNumId w:val="7"/>
  </w:num>
  <w:num w:numId="9">
    <w:abstractNumId w:val="2"/>
  </w:num>
  <w:num w:numId="10">
    <w:abstractNumId w:val="4"/>
  </w:num>
  <w:num w:numId="11">
    <w:abstractNumId w:val="11"/>
  </w:num>
  <w:num w:numId="12">
    <w:abstractNumId w:val="13"/>
  </w:num>
  <w:num w:numId="13">
    <w:abstractNumId w:val="1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3B"/>
    <w:rsid w:val="00003A68"/>
    <w:rsid w:val="00012664"/>
    <w:rsid w:val="0001426F"/>
    <w:rsid w:val="0002726D"/>
    <w:rsid w:val="000355C3"/>
    <w:rsid w:val="00042CA7"/>
    <w:rsid w:val="00054E07"/>
    <w:rsid w:val="0005693A"/>
    <w:rsid w:val="000709BF"/>
    <w:rsid w:val="000735F0"/>
    <w:rsid w:val="00091031"/>
    <w:rsid w:val="000B3C8A"/>
    <w:rsid w:val="000D3D40"/>
    <w:rsid w:val="000D440E"/>
    <w:rsid w:val="0010603F"/>
    <w:rsid w:val="00112D04"/>
    <w:rsid w:val="001167A2"/>
    <w:rsid w:val="00165309"/>
    <w:rsid w:val="00170457"/>
    <w:rsid w:val="00177BBA"/>
    <w:rsid w:val="0018383B"/>
    <w:rsid w:val="001B7EB7"/>
    <w:rsid w:val="001C161C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40372"/>
    <w:rsid w:val="002573F8"/>
    <w:rsid w:val="002702D4"/>
    <w:rsid w:val="00274F1A"/>
    <w:rsid w:val="0028034B"/>
    <w:rsid w:val="00281035"/>
    <w:rsid w:val="002810A7"/>
    <w:rsid w:val="00287576"/>
    <w:rsid w:val="00291C4D"/>
    <w:rsid w:val="00292178"/>
    <w:rsid w:val="002A3815"/>
    <w:rsid w:val="002A5F9D"/>
    <w:rsid w:val="002C0301"/>
    <w:rsid w:val="002C4A08"/>
    <w:rsid w:val="002E44CD"/>
    <w:rsid w:val="002F0461"/>
    <w:rsid w:val="002F08EC"/>
    <w:rsid w:val="003019B6"/>
    <w:rsid w:val="003260A5"/>
    <w:rsid w:val="00331571"/>
    <w:rsid w:val="00334EAD"/>
    <w:rsid w:val="00343CBA"/>
    <w:rsid w:val="003529B4"/>
    <w:rsid w:val="003533A9"/>
    <w:rsid w:val="00361A0D"/>
    <w:rsid w:val="003661D4"/>
    <w:rsid w:val="00375055"/>
    <w:rsid w:val="003B3451"/>
    <w:rsid w:val="003B48C2"/>
    <w:rsid w:val="003C026F"/>
    <w:rsid w:val="003D05E8"/>
    <w:rsid w:val="003D09EF"/>
    <w:rsid w:val="003D211B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33EB"/>
    <w:rsid w:val="00424F9A"/>
    <w:rsid w:val="00427B37"/>
    <w:rsid w:val="004326E7"/>
    <w:rsid w:val="00460F13"/>
    <w:rsid w:val="00462566"/>
    <w:rsid w:val="004634FA"/>
    <w:rsid w:val="00465F86"/>
    <w:rsid w:val="004723CA"/>
    <w:rsid w:val="00490BB0"/>
    <w:rsid w:val="004969A8"/>
    <w:rsid w:val="00496E2E"/>
    <w:rsid w:val="004A2D91"/>
    <w:rsid w:val="004A32F0"/>
    <w:rsid w:val="004B204F"/>
    <w:rsid w:val="004B2F65"/>
    <w:rsid w:val="004D7FF4"/>
    <w:rsid w:val="005065D4"/>
    <w:rsid w:val="00510295"/>
    <w:rsid w:val="00511508"/>
    <w:rsid w:val="00515A5A"/>
    <w:rsid w:val="00516576"/>
    <w:rsid w:val="00520BDA"/>
    <w:rsid w:val="0053616D"/>
    <w:rsid w:val="005409FF"/>
    <w:rsid w:val="005414C3"/>
    <w:rsid w:val="0054664B"/>
    <w:rsid w:val="00551417"/>
    <w:rsid w:val="005516AC"/>
    <w:rsid w:val="0056407C"/>
    <w:rsid w:val="00570491"/>
    <w:rsid w:val="005969D2"/>
    <w:rsid w:val="00596ABE"/>
    <w:rsid w:val="005A7495"/>
    <w:rsid w:val="005C02D2"/>
    <w:rsid w:val="005C4FA1"/>
    <w:rsid w:val="005D668B"/>
    <w:rsid w:val="005D6F66"/>
    <w:rsid w:val="005F1C11"/>
    <w:rsid w:val="005F451D"/>
    <w:rsid w:val="00600551"/>
    <w:rsid w:val="00613760"/>
    <w:rsid w:val="006319F9"/>
    <w:rsid w:val="00635F98"/>
    <w:rsid w:val="006437AB"/>
    <w:rsid w:val="006525C2"/>
    <w:rsid w:val="006532A6"/>
    <w:rsid w:val="00654FDB"/>
    <w:rsid w:val="00662B91"/>
    <w:rsid w:val="006650A3"/>
    <w:rsid w:val="00667FB1"/>
    <w:rsid w:val="0067206C"/>
    <w:rsid w:val="006758AB"/>
    <w:rsid w:val="00676275"/>
    <w:rsid w:val="0068021B"/>
    <w:rsid w:val="00694F0B"/>
    <w:rsid w:val="006978DE"/>
    <w:rsid w:val="006C73CA"/>
    <w:rsid w:val="006D2B97"/>
    <w:rsid w:val="006D3E26"/>
    <w:rsid w:val="006D773D"/>
    <w:rsid w:val="006F6F73"/>
    <w:rsid w:val="00707FDD"/>
    <w:rsid w:val="00714A35"/>
    <w:rsid w:val="00723F23"/>
    <w:rsid w:val="0072752D"/>
    <w:rsid w:val="007358E3"/>
    <w:rsid w:val="0075451A"/>
    <w:rsid w:val="0075578B"/>
    <w:rsid w:val="00755C7E"/>
    <w:rsid w:val="00761F1D"/>
    <w:rsid w:val="007667DD"/>
    <w:rsid w:val="007705C4"/>
    <w:rsid w:val="00773155"/>
    <w:rsid w:val="00784400"/>
    <w:rsid w:val="007874E9"/>
    <w:rsid w:val="007A1ADE"/>
    <w:rsid w:val="007A5E1E"/>
    <w:rsid w:val="007C1813"/>
    <w:rsid w:val="007C4328"/>
    <w:rsid w:val="007D2C85"/>
    <w:rsid w:val="007D50E0"/>
    <w:rsid w:val="00805114"/>
    <w:rsid w:val="0081005F"/>
    <w:rsid w:val="0081122B"/>
    <w:rsid w:val="00813D0B"/>
    <w:rsid w:val="008342DB"/>
    <w:rsid w:val="00836F07"/>
    <w:rsid w:val="0083746C"/>
    <w:rsid w:val="00842345"/>
    <w:rsid w:val="00843864"/>
    <w:rsid w:val="00853A62"/>
    <w:rsid w:val="00854D32"/>
    <w:rsid w:val="00857888"/>
    <w:rsid w:val="00870502"/>
    <w:rsid w:val="00873C13"/>
    <w:rsid w:val="008801CB"/>
    <w:rsid w:val="00881418"/>
    <w:rsid w:val="00885B52"/>
    <w:rsid w:val="00890F55"/>
    <w:rsid w:val="008967AD"/>
    <w:rsid w:val="008A233E"/>
    <w:rsid w:val="008A3B63"/>
    <w:rsid w:val="008A6AD0"/>
    <w:rsid w:val="008B3961"/>
    <w:rsid w:val="008C101E"/>
    <w:rsid w:val="008C2782"/>
    <w:rsid w:val="008D472D"/>
    <w:rsid w:val="008E2859"/>
    <w:rsid w:val="00901047"/>
    <w:rsid w:val="0090405B"/>
    <w:rsid w:val="009133E9"/>
    <w:rsid w:val="00915C84"/>
    <w:rsid w:val="00923E53"/>
    <w:rsid w:val="009328DD"/>
    <w:rsid w:val="009377C3"/>
    <w:rsid w:val="00972310"/>
    <w:rsid w:val="00982F78"/>
    <w:rsid w:val="009875B2"/>
    <w:rsid w:val="00987FC3"/>
    <w:rsid w:val="009A0ED6"/>
    <w:rsid w:val="009A0F7E"/>
    <w:rsid w:val="009A1624"/>
    <w:rsid w:val="009C5777"/>
    <w:rsid w:val="009D4E77"/>
    <w:rsid w:val="009F0DFC"/>
    <w:rsid w:val="009F3445"/>
    <w:rsid w:val="00A42400"/>
    <w:rsid w:val="00A50EEB"/>
    <w:rsid w:val="00A52886"/>
    <w:rsid w:val="00A75F4C"/>
    <w:rsid w:val="00A9584B"/>
    <w:rsid w:val="00AA60E5"/>
    <w:rsid w:val="00AB1738"/>
    <w:rsid w:val="00AB1F7F"/>
    <w:rsid w:val="00AC639E"/>
    <w:rsid w:val="00AE621F"/>
    <w:rsid w:val="00AE7C6A"/>
    <w:rsid w:val="00AF3542"/>
    <w:rsid w:val="00AF776F"/>
    <w:rsid w:val="00B04961"/>
    <w:rsid w:val="00B0596D"/>
    <w:rsid w:val="00B069EA"/>
    <w:rsid w:val="00B20041"/>
    <w:rsid w:val="00B2691B"/>
    <w:rsid w:val="00B26C29"/>
    <w:rsid w:val="00B410B4"/>
    <w:rsid w:val="00B57B2A"/>
    <w:rsid w:val="00B96AEA"/>
    <w:rsid w:val="00BA512C"/>
    <w:rsid w:val="00BB0F43"/>
    <w:rsid w:val="00BB1F22"/>
    <w:rsid w:val="00BB5973"/>
    <w:rsid w:val="00BE1A95"/>
    <w:rsid w:val="00BE6499"/>
    <w:rsid w:val="00C16D2D"/>
    <w:rsid w:val="00C17DDC"/>
    <w:rsid w:val="00C3053B"/>
    <w:rsid w:val="00C6466B"/>
    <w:rsid w:val="00C72852"/>
    <w:rsid w:val="00CD10BF"/>
    <w:rsid w:val="00CF0ECB"/>
    <w:rsid w:val="00D174D9"/>
    <w:rsid w:val="00D20A6A"/>
    <w:rsid w:val="00D272DE"/>
    <w:rsid w:val="00D34A04"/>
    <w:rsid w:val="00D5111B"/>
    <w:rsid w:val="00D56B42"/>
    <w:rsid w:val="00D60214"/>
    <w:rsid w:val="00D62F8A"/>
    <w:rsid w:val="00D66ED7"/>
    <w:rsid w:val="00D71A1A"/>
    <w:rsid w:val="00D90054"/>
    <w:rsid w:val="00DA127C"/>
    <w:rsid w:val="00DA1D0A"/>
    <w:rsid w:val="00DC64EC"/>
    <w:rsid w:val="00DD6FD3"/>
    <w:rsid w:val="00DF6DF3"/>
    <w:rsid w:val="00E15396"/>
    <w:rsid w:val="00E160E0"/>
    <w:rsid w:val="00E17C67"/>
    <w:rsid w:val="00E331A7"/>
    <w:rsid w:val="00E336E7"/>
    <w:rsid w:val="00E37F97"/>
    <w:rsid w:val="00E40CCC"/>
    <w:rsid w:val="00E43AAB"/>
    <w:rsid w:val="00E47850"/>
    <w:rsid w:val="00E47D2B"/>
    <w:rsid w:val="00E5491A"/>
    <w:rsid w:val="00E61773"/>
    <w:rsid w:val="00E63323"/>
    <w:rsid w:val="00E86125"/>
    <w:rsid w:val="00EA0301"/>
    <w:rsid w:val="00EA0DFF"/>
    <w:rsid w:val="00EB1829"/>
    <w:rsid w:val="00EB1905"/>
    <w:rsid w:val="00EC0B8E"/>
    <w:rsid w:val="00EC0CED"/>
    <w:rsid w:val="00ED609E"/>
    <w:rsid w:val="00ED624E"/>
    <w:rsid w:val="00EE78E2"/>
    <w:rsid w:val="00EF1342"/>
    <w:rsid w:val="00EF4ECC"/>
    <w:rsid w:val="00F05BEA"/>
    <w:rsid w:val="00F30721"/>
    <w:rsid w:val="00F32AE0"/>
    <w:rsid w:val="00F33F60"/>
    <w:rsid w:val="00F46190"/>
    <w:rsid w:val="00F47056"/>
    <w:rsid w:val="00F60031"/>
    <w:rsid w:val="00F76CF5"/>
    <w:rsid w:val="00F80532"/>
    <w:rsid w:val="00F91DF0"/>
    <w:rsid w:val="00FA248D"/>
    <w:rsid w:val="00FA7F39"/>
    <w:rsid w:val="00FB66F1"/>
    <w:rsid w:val="00FC60FB"/>
    <w:rsid w:val="00FD3BA3"/>
    <w:rsid w:val="00FD3F2B"/>
    <w:rsid w:val="00FD4CF2"/>
    <w:rsid w:val="00FD7B62"/>
    <w:rsid w:val="00FE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D0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5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5E8"/>
    <w:rPr>
      <w:rFonts w:ascii="Arial" w:hAnsi="Arial" w:cs="Arial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8053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4FA1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4FA1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4FA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73155"/>
    <w:pPr>
      <w:keepLines w:val="0"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6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61C"/>
    <w:rPr>
      <w:rFonts w:ascii="Arial" w:hAnsi="Arial" w:cs="Arial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003A68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4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7353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8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4366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5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7719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9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3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0306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187657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43511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026445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20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93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906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07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170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808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301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4454940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427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464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97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248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887258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75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161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192887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58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816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3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murphyg\Downloads\rsc.li\3sFPws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SO690Nmerical.XSL" StyleName="ISO 690 - Numerical Reference" Version="1987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Props1.xml><?xml version="1.0" encoding="utf-8"?>
<ds:datastoreItem xmlns:ds="http://schemas.openxmlformats.org/officeDocument/2006/customXml" ds:itemID="{9EFBC73C-7980-E044-8249-64DED4B8C8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2427AC-40FE-4BBA-B06D-BC332C186A75}">
  <ds:schemaRefs>
    <ds:schemaRef ds:uri="http://schemas.microsoft.com/office/2006/metadata/properties"/>
    <ds:schemaRef ds:uri="27d643f5-4560-4eff-9f48-d0fe6b2bec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CPACs assessment grid</vt:lpstr>
    </vt:vector>
  </TitlesOfParts>
  <Company>Royal Society of Chemistry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CPACs assessment grid</dc:title>
  <dc:subject/>
  <dc:creator>Royal Society of Chemistry</dc:creator>
  <cp:keywords>practical assessment</cp:keywords>
  <dc:description>From Link global food security to your lessons on fertilisers, Education in Chemistry, rsc.li/3sFPwsx </dc:description>
  <cp:lastModifiedBy>Georgia Murphy</cp:lastModifiedBy>
  <cp:revision>38</cp:revision>
  <dcterms:created xsi:type="dcterms:W3CDTF">2021-08-17T21:51:00Z</dcterms:created>
  <dcterms:modified xsi:type="dcterms:W3CDTF">2021-08-24T08:06:00Z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