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1C9B9" w14:textId="3037D0AA" w:rsidR="00613DBE" w:rsidRDefault="00613DBE" w:rsidP="00613DBE">
      <w:pPr>
        <w:pStyle w:val="RSCH1"/>
      </w:pPr>
      <w:bookmarkStart w:id="0" w:name="_Hlk103778164"/>
      <w:r>
        <w:t>The politics of energy</w:t>
      </w:r>
      <w:r w:rsidR="006869EA">
        <w:t xml:space="preserve"> – </w:t>
      </w:r>
      <w:r>
        <w:t>structure strip</w:t>
      </w:r>
    </w:p>
    <w:bookmarkEnd w:id="0"/>
    <w:p w14:paraId="19E4CCE9" w14:textId="75A54864" w:rsidR="00613DBE" w:rsidRDefault="00613DBE" w:rsidP="00613DBE">
      <w:pPr>
        <w:pStyle w:val="RSCBasictext"/>
        <w:rPr>
          <w:lang w:eastAsia="en-GB"/>
        </w:rPr>
      </w:pPr>
      <w:r>
        <w:rPr>
          <w:lang w:eastAsia="en-GB"/>
        </w:rPr>
        <w:t xml:space="preserve">This resource accompanies the article </w:t>
      </w:r>
      <w:r w:rsidR="000531EC">
        <w:rPr>
          <w:b/>
          <w:bCs/>
          <w:lang w:eastAsia="en-GB"/>
        </w:rPr>
        <w:t>Energy boost</w:t>
      </w:r>
      <w:r>
        <w:t>,</w:t>
      </w:r>
      <w:r>
        <w:rPr>
          <w:lang w:eastAsia="en-GB"/>
        </w:rPr>
        <w:t xml:space="preserve"> </w:t>
      </w:r>
      <w:bookmarkStart w:id="1" w:name="_Hlk104905676"/>
      <w:r>
        <w:rPr>
          <w:lang w:eastAsia="en-GB"/>
        </w:rPr>
        <w:t xml:space="preserve">in </w:t>
      </w:r>
      <w:r w:rsidRPr="00E350AA">
        <w:rPr>
          <w:i/>
          <w:iCs/>
          <w:lang w:eastAsia="en-GB"/>
        </w:rPr>
        <w:t>Education in Chemistry</w:t>
      </w:r>
      <w:bookmarkEnd w:id="1"/>
      <w:r>
        <w:rPr>
          <w:lang w:eastAsia="en-GB"/>
        </w:rPr>
        <w:t xml:space="preserve"> which can be viewed at: </w:t>
      </w:r>
      <w:hyperlink r:id="rId7" w:history="1">
        <w:r w:rsidR="000531EC" w:rsidRPr="003A1410">
          <w:rPr>
            <w:rStyle w:val="Hyperlink"/>
          </w:rPr>
          <w:t>https://rsc.li/3t8AKMl</w:t>
        </w:r>
      </w:hyperlink>
      <w:r w:rsidR="000531EC">
        <w:t xml:space="preserve"> </w:t>
      </w:r>
    </w:p>
    <w:p w14:paraId="65138B1A" w14:textId="122BAE03" w:rsidR="00AB639C" w:rsidRDefault="00AB639C" w:rsidP="00AB639C">
      <w:pPr>
        <w:pStyle w:val="RSCH2"/>
        <w:rPr>
          <w:lang w:eastAsia="en-GB"/>
        </w:rPr>
      </w:pPr>
      <w:r>
        <w:rPr>
          <w:lang w:eastAsia="en-GB"/>
        </w:rPr>
        <w:t>Learning objectives</w:t>
      </w:r>
    </w:p>
    <w:p w14:paraId="28F35FCE" w14:textId="01A9F5DA" w:rsidR="0087322B" w:rsidRPr="0049734A" w:rsidRDefault="0087322B" w:rsidP="0087322B">
      <w:pPr>
        <w:pStyle w:val="RSCLearningobjectives"/>
        <w:ind w:left="360" w:hanging="360"/>
      </w:pPr>
      <w:r>
        <w:t>Explore how the raw materials for energy production are linked to global politics</w:t>
      </w:r>
      <w:r w:rsidR="00613DBE">
        <w:t>.</w:t>
      </w:r>
    </w:p>
    <w:p w14:paraId="1BAF1923" w14:textId="70495794" w:rsidR="0087322B" w:rsidRPr="0049734A" w:rsidRDefault="0087322B" w:rsidP="0087322B">
      <w:pPr>
        <w:pStyle w:val="RSCLearningobjectives"/>
        <w:ind w:left="360" w:hanging="360"/>
      </w:pPr>
      <w:r>
        <w:t>Revisit organic chemistry concepts in a new context</w:t>
      </w:r>
      <w:r w:rsidR="00613DBE">
        <w:t>.</w:t>
      </w:r>
    </w:p>
    <w:p w14:paraId="57C33F41" w14:textId="77777777" w:rsidR="003F0E3C" w:rsidRDefault="003F0E3C" w:rsidP="003F0E3C">
      <w:pPr>
        <w:pStyle w:val="RSCH2"/>
        <w:rPr>
          <w:lang w:eastAsia="en-GB"/>
        </w:rPr>
      </w:pPr>
      <w:r>
        <w:rPr>
          <w:lang w:eastAsia="en-GB"/>
        </w:rPr>
        <w:t>Introduction</w:t>
      </w:r>
    </w:p>
    <w:p w14:paraId="785E8ADC" w14:textId="19398DFC" w:rsidR="003F0E3C" w:rsidRDefault="003F0E3C" w:rsidP="003F0E3C">
      <w:pPr>
        <w:pStyle w:val="RSCBasictext"/>
        <w:rPr>
          <w:lang w:eastAsia="en-GB"/>
        </w:rPr>
      </w:pPr>
      <w:r>
        <w:rPr>
          <w:lang w:eastAsia="en-GB"/>
        </w:rPr>
        <w:t xml:space="preserve">This resource helps students revisit some key topics from organic chemistry and atmospheric chemistry within a new context. </w:t>
      </w:r>
    </w:p>
    <w:p w14:paraId="36F93FF7" w14:textId="77777777" w:rsidR="00316926" w:rsidRDefault="00316926" w:rsidP="00316926">
      <w:pPr>
        <w:pStyle w:val="RSCH2"/>
        <w:rPr>
          <w:lang w:eastAsia="en-GB"/>
        </w:rPr>
      </w:pPr>
      <w:r>
        <w:rPr>
          <w:lang w:eastAsia="en-GB"/>
        </w:rPr>
        <w:t>How to use the article</w:t>
      </w:r>
    </w:p>
    <w:p w14:paraId="0F32EC16" w14:textId="0A77F4DC" w:rsidR="003F0E3C" w:rsidRDefault="003F0E3C" w:rsidP="003F0E3C">
      <w:pPr>
        <w:pStyle w:val="RSCBasictext"/>
        <w:rPr>
          <w:lang w:eastAsia="en-GB"/>
        </w:rPr>
      </w:pPr>
      <w:r>
        <w:rPr>
          <w:lang w:eastAsia="en-GB"/>
        </w:rPr>
        <w:t xml:space="preserve">Some of the language in the accompanying article may be difficult for learners with a reading age below their actual age. In this situation, the resource is recommended </w:t>
      </w:r>
      <w:r w:rsidRPr="001B7B58">
        <w:rPr>
          <w:lang w:eastAsia="en-GB"/>
        </w:rPr>
        <w:t>as a whole class activity</w:t>
      </w:r>
      <w:r>
        <w:rPr>
          <w:lang w:eastAsia="en-GB"/>
        </w:rPr>
        <w:t>. This will gi</w:t>
      </w:r>
      <w:r w:rsidRPr="001B7B58">
        <w:rPr>
          <w:lang w:eastAsia="en-GB"/>
        </w:rPr>
        <w:t xml:space="preserve">ve </w:t>
      </w:r>
      <w:r>
        <w:rPr>
          <w:lang w:eastAsia="en-GB"/>
        </w:rPr>
        <w:t>learners</w:t>
      </w:r>
      <w:r w:rsidRPr="001B7B58">
        <w:rPr>
          <w:lang w:eastAsia="en-GB"/>
        </w:rPr>
        <w:t xml:space="preserve"> </w:t>
      </w:r>
      <w:r>
        <w:rPr>
          <w:lang w:eastAsia="en-GB"/>
        </w:rPr>
        <w:t xml:space="preserve">the support they may need to access the text as well as </w:t>
      </w:r>
      <w:r w:rsidRPr="001B7B58">
        <w:rPr>
          <w:lang w:eastAsia="en-GB"/>
        </w:rPr>
        <w:t>a good environment for concentrating on writing at length</w:t>
      </w:r>
      <w:r>
        <w:rPr>
          <w:lang w:eastAsia="en-GB"/>
        </w:rPr>
        <w:t>.</w:t>
      </w:r>
      <w:r w:rsidR="00CE392C">
        <w:rPr>
          <w:lang w:eastAsia="en-GB"/>
        </w:rPr>
        <w:t xml:space="preserve"> Ask your</w:t>
      </w:r>
      <w:r w:rsidRPr="003D0B07">
        <w:rPr>
          <w:lang w:eastAsia="en-GB"/>
        </w:rPr>
        <w:t xml:space="preserve"> </w:t>
      </w:r>
      <w:r>
        <w:rPr>
          <w:lang w:eastAsia="en-GB"/>
        </w:rPr>
        <w:t>learners</w:t>
      </w:r>
      <w:r w:rsidRPr="003D0B07">
        <w:rPr>
          <w:lang w:eastAsia="en-GB"/>
        </w:rPr>
        <w:t xml:space="preserve"> </w:t>
      </w:r>
      <w:r w:rsidR="00CE392C">
        <w:rPr>
          <w:lang w:eastAsia="en-GB"/>
        </w:rPr>
        <w:t>to</w:t>
      </w:r>
      <w:r w:rsidRPr="003D0B07">
        <w:rPr>
          <w:lang w:eastAsia="en-GB"/>
        </w:rPr>
        <w:t xml:space="preserve"> read </w:t>
      </w:r>
      <w:r>
        <w:rPr>
          <w:lang w:eastAsia="en-GB"/>
        </w:rPr>
        <w:t xml:space="preserve">the whole text or an allocated section </w:t>
      </w:r>
      <w:r w:rsidRPr="003D0B07">
        <w:rPr>
          <w:lang w:eastAsia="en-GB"/>
        </w:rPr>
        <w:t xml:space="preserve">initially themselves and </w:t>
      </w:r>
      <w:r w:rsidR="00CE392C">
        <w:rPr>
          <w:lang w:eastAsia="en-GB"/>
        </w:rPr>
        <w:t>highlight</w:t>
      </w:r>
      <w:r w:rsidRPr="003D0B07">
        <w:rPr>
          <w:lang w:eastAsia="en-GB"/>
        </w:rPr>
        <w:t xml:space="preserve"> each word they struggle with</w:t>
      </w:r>
      <w:r>
        <w:rPr>
          <w:lang w:eastAsia="en-GB"/>
        </w:rPr>
        <w:t xml:space="preserve">. </w:t>
      </w:r>
      <w:r w:rsidR="00CE392C">
        <w:rPr>
          <w:lang w:eastAsia="en-GB"/>
        </w:rPr>
        <w:t>As a</w:t>
      </w:r>
      <w:r>
        <w:rPr>
          <w:lang w:eastAsia="en-GB"/>
        </w:rPr>
        <w:t xml:space="preserve"> class</w:t>
      </w:r>
      <w:r w:rsidR="00CE392C">
        <w:rPr>
          <w:lang w:eastAsia="en-GB"/>
        </w:rPr>
        <w:t xml:space="preserve">, </w:t>
      </w:r>
      <w:r>
        <w:rPr>
          <w:lang w:eastAsia="en-GB"/>
        </w:rPr>
        <w:t>go</w:t>
      </w:r>
      <w:r w:rsidRPr="003D0B07">
        <w:rPr>
          <w:lang w:eastAsia="en-GB"/>
        </w:rPr>
        <w:t xml:space="preserve"> through</w:t>
      </w:r>
      <w:r>
        <w:rPr>
          <w:lang w:eastAsia="en-GB"/>
        </w:rPr>
        <w:t xml:space="preserve"> the article together</w:t>
      </w:r>
      <w:r w:rsidR="00CE392C">
        <w:rPr>
          <w:lang w:eastAsia="en-GB"/>
        </w:rPr>
        <w:t xml:space="preserve">, discussing the highlighted phrases and writing </w:t>
      </w:r>
      <w:r w:rsidR="00927535">
        <w:rPr>
          <w:lang w:eastAsia="en-GB"/>
        </w:rPr>
        <w:t xml:space="preserve">the </w:t>
      </w:r>
      <w:r w:rsidR="00CE392C">
        <w:rPr>
          <w:lang w:eastAsia="en-GB"/>
        </w:rPr>
        <w:t>definitions.</w:t>
      </w:r>
      <w:r w:rsidR="00570142" w:rsidRPr="00570142">
        <w:t xml:space="preserve"> </w:t>
      </w:r>
      <w:r w:rsidR="00570142">
        <w:t>S</w:t>
      </w:r>
      <w:r w:rsidR="00570142" w:rsidRPr="00570142">
        <w:rPr>
          <w:lang w:eastAsia="en-GB"/>
        </w:rPr>
        <w:t>paces</w:t>
      </w:r>
      <w:r w:rsidR="00570142">
        <w:rPr>
          <w:lang w:eastAsia="en-GB"/>
        </w:rPr>
        <w:t xml:space="preserve"> can be added</w:t>
      </w:r>
      <w:r w:rsidR="00570142" w:rsidRPr="00570142">
        <w:rPr>
          <w:lang w:eastAsia="en-GB"/>
        </w:rPr>
        <w:t xml:space="preserve"> between each line </w:t>
      </w:r>
      <w:r w:rsidR="00570142">
        <w:rPr>
          <w:lang w:eastAsia="en-GB"/>
        </w:rPr>
        <w:t xml:space="preserve">of the article </w:t>
      </w:r>
      <w:r w:rsidR="00570142" w:rsidRPr="00570142">
        <w:rPr>
          <w:lang w:eastAsia="en-GB"/>
        </w:rPr>
        <w:t>to allow for annotation.</w:t>
      </w:r>
      <w:r w:rsidR="00CE392C">
        <w:rPr>
          <w:lang w:eastAsia="en-GB"/>
        </w:rPr>
        <w:t xml:space="preserve"> </w:t>
      </w:r>
      <w:r w:rsidR="00927535">
        <w:rPr>
          <w:lang w:eastAsia="en-GB"/>
        </w:rPr>
        <w:t>Although this may take more time, learners will be more confident in completing the structure strip questions as they will better understand the content and what is being asked.</w:t>
      </w:r>
    </w:p>
    <w:p w14:paraId="2F97BC25" w14:textId="338B412E" w:rsidR="003F0E3C" w:rsidRDefault="003F0E3C" w:rsidP="003F0E3C">
      <w:pPr>
        <w:pStyle w:val="RSCH2"/>
        <w:rPr>
          <w:lang w:eastAsia="en-GB"/>
        </w:rPr>
      </w:pPr>
      <w:r>
        <w:rPr>
          <w:lang w:eastAsia="en-GB"/>
        </w:rPr>
        <w:t>How to use structure strips</w:t>
      </w:r>
    </w:p>
    <w:p w14:paraId="6B199B19" w14:textId="694E5012" w:rsidR="003F0E3C" w:rsidRDefault="002B6815" w:rsidP="003F0E3C">
      <w:pPr>
        <w:pStyle w:val="RSCBasictext"/>
        <w:rPr>
          <w:lang w:eastAsia="en-GB"/>
        </w:rPr>
      </w:pPr>
      <w:hyperlink r:id="rId8" w:history="1">
        <w:r w:rsidR="003F0E3C" w:rsidRPr="00491695">
          <w:rPr>
            <w:rStyle w:val="Hyperlink"/>
            <w:lang w:eastAsia="en-GB"/>
          </w:rPr>
          <w:t>Structure strips</w:t>
        </w:r>
      </w:hyperlink>
      <w:r w:rsidR="003F0E3C">
        <w:rPr>
          <w:lang w:eastAsia="en-GB"/>
        </w:rPr>
        <w:t xml:space="preserve"> guide learners to write longer responses by providing side-by-side prompts. They make practising extended response questions, such as six</w:t>
      </w:r>
      <w:r w:rsidR="00003961">
        <w:rPr>
          <w:lang w:eastAsia="en-GB"/>
        </w:rPr>
        <w:t>-</w:t>
      </w:r>
      <w:r w:rsidR="003F0E3C">
        <w:rPr>
          <w:lang w:eastAsia="en-GB"/>
        </w:rPr>
        <w:t>markers, more a</w:t>
      </w:r>
      <w:r w:rsidR="003F0E3C" w:rsidRPr="00970F55">
        <w:rPr>
          <w:lang w:eastAsia="en-GB"/>
        </w:rPr>
        <w:t>ccessible to all learners</w:t>
      </w:r>
      <w:r w:rsidR="003F0E3C">
        <w:rPr>
          <w:lang w:eastAsia="en-GB"/>
        </w:rPr>
        <w:t xml:space="preserve"> by </w:t>
      </w:r>
      <w:r w:rsidR="003F0E3C" w:rsidRPr="00970F55">
        <w:rPr>
          <w:lang w:eastAsia="en-GB"/>
        </w:rPr>
        <w:t>provid</w:t>
      </w:r>
      <w:r w:rsidR="003F0E3C">
        <w:rPr>
          <w:lang w:eastAsia="en-GB"/>
        </w:rPr>
        <w:t>ing</w:t>
      </w:r>
      <w:r w:rsidR="003F0E3C" w:rsidRPr="00970F55">
        <w:rPr>
          <w:lang w:eastAsia="en-GB"/>
        </w:rPr>
        <w:t xml:space="preserve"> scaffolding</w:t>
      </w:r>
      <w:r w:rsidR="003F0E3C">
        <w:rPr>
          <w:lang w:eastAsia="en-GB"/>
        </w:rPr>
        <w:t>. Structure strips also help learners overcome the fear of a blank page</w:t>
      </w:r>
      <w:r w:rsidR="003F0E3C" w:rsidRPr="00970F55">
        <w:rPr>
          <w:lang w:eastAsia="en-GB"/>
        </w:rPr>
        <w:t>.</w:t>
      </w:r>
      <w:r w:rsidR="003F0E3C">
        <w:rPr>
          <w:lang w:eastAsia="en-GB"/>
        </w:rPr>
        <w:t xml:space="preserve"> Learners stick a strip</w:t>
      </w:r>
      <w:r w:rsidR="003F0E3C" w:rsidRPr="009B03EF">
        <w:rPr>
          <w:lang w:eastAsia="en-GB"/>
        </w:rPr>
        <w:t xml:space="preserve"> in the margin of </w:t>
      </w:r>
      <w:r w:rsidR="003F0E3C">
        <w:rPr>
          <w:lang w:eastAsia="en-GB"/>
        </w:rPr>
        <w:t>their</w:t>
      </w:r>
      <w:r w:rsidR="003F0E3C" w:rsidRPr="009B03EF">
        <w:rPr>
          <w:lang w:eastAsia="en-GB"/>
        </w:rPr>
        <w:t xml:space="preserve"> exercise book</w:t>
      </w:r>
      <w:r w:rsidR="003F0E3C">
        <w:rPr>
          <w:lang w:eastAsia="en-GB"/>
        </w:rPr>
        <w:t>s</w:t>
      </w:r>
      <w:r w:rsidR="003F0E3C" w:rsidRPr="009B03EF">
        <w:rPr>
          <w:lang w:eastAsia="en-GB"/>
        </w:rPr>
        <w:t xml:space="preserve"> and follow the questions to write </w:t>
      </w:r>
      <w:r w:rsidR="003F0E3C">
        <w:rPr>
          <w:lang w:eastAsia="en-GB"/>
        </w:rPr>
        <w:t>their</w:t>
      </w:r>
      <w:r w:rsidR="003F0E3C" w:rsidRPr="009B03EF">
        <w:rPr>
          <w:lang w:eastAsia="en-GB"/>
        </w:rPr>
        <w:t xml:space="preserve"> summar</w:t>
      </w:r>
      <w:r w:rsidR="003F0E3C">
        <w:rPr>
          <w:lang w:eastAsia="en-GB"/>
        </w:rPr>
        <w:t xml:space="preserve">ies. </w:t>
      </w:r>
    </w:p>
    <w:p w14:paraId="50600F1C" w14:textId="493C2A15" w:rsidR="003F0E3C" w:rsidRDefault="003F0E3C" w:rsidP="003F0E3C">
      <w:pPr>
        <w:pStyle w:val="RSCBasictext"/>
        <w:rPr>
          <w:lang w:eastAsia="en-GB"/>
        </w:rPr>
      </w:pPr>
      <w:r>
        <w:rPr>
          <w:lang w:eastAsia="en-GB"/>
        </w:rPr>
        <w:t xml:space="preserve">Answers are provided on the next page. </w:t>
      </w:r>
      <w:r w:rsidR="00003961">
        <w:rPr>
          <w:lang w:eastAsia="en-GB"/>
        </w:rPr>
        <w:t>Y</w:t>
      </w:r>
      <w:r>
        <w:rPr>
          <w:lang w:eastAsia="en-GB"/>
        </w:rPr>
        <w:t xml:space="preserve">ou </w:t>
      </w:r>
      <w:r w:rsidR="00003961">
        <w:rPr>
          <w:lang w:eastAsia="en-GB"/>
        </w:rPr>
        <w:t xml:space="preserve">can use them </w:t>
      </w:r>
      <w:r>
        <w:rPr>
          <w:lang w:eastAsia="en-GB"/>
        </w:rPr>
        <w:t xml:space="preserve">when marking </w:t>
      </w:r>
      <w:r w:rsidRPr="00970F55">
        <w:rPr>
          <w:lang w:eastAsia="en-GB"/>
        </w:rPr>
        <w:t xml:space="preserve">or </w:t>
      </w:r>
      <w:r>
        <w:rPr>
          <w:lang w:eastAsia="en-GB"/>
        </w:rPr>
        <w:t>give</w:t>
      </w:r>
      <w:r w:rsidR="00003961">
        <w:rPr>
          <w:lang w:eastAsia="en-GB"/>
        </w:rPr>
        <w:t xml:space="preserve"> them </w:t>
      </w:r>
      <w:r>
        <w:rPr>
          <w:lang w:eastAsia="en-GB"/>
        </w:rPr>
        <w:t xml:space="preserve">to learners for </w:t>
      </w:r>
      <w:r w:rsidRPr="00970F55">
        <w:rPr>
          <w:lang w:eastAsia="en-GB"/>
        </w:rPr>
        <w:t>peer or self-assessment.</w:t>
      </w:r>
    </w:p>
    <w:p w14:paraId="3EAF835E" w14:textId="77777777" w:rsidR="00823187" w:rsidRDefault="00823187" w:rsidP="003F0E3C">
      <w:pPr>
        <w:spacing w:after="160" w:line="259" w:lineRule="auto"/>
        <w:jc w:val="left"/>
        <w:outlineLvl w:val="9"/>
        <w:rPr>
          <w:rFonts w:ascii="Century Gothic" w:hAnsi="Century Gothic"/>
          <w:b/>
          <w:bCs/>
          <w:color w:val="C8102E"/>
          <w:sz w:val="22"/>
          <w:szCs w:val="22"/>
        </w:rPr>
      </w:pPr>
      <w:r>
        <w:br w:type="page"/>
      </w:r>
    </w:p>
    <w:p w14:paraId="5709216C" w14:textId="0E482531" w:rsidR="00D444BA" w:rsidRDefault="00D444BA" w:rsidP="003F0E3C">
      <w:pPr>
        <w:pStyle w:val="RSCH2"/>
      </w:pPr>
      <w:r>
        <w:lastRenderedPageBreak/>
        <w:t>Answers</w:t>
      </w:r>
    </w:p>
    <w:tbl>
      <w:tblPr>
        <w:tblStyle w:val="TableGrid"/>
        <w:tblW w:w="9209" w:type="dxa"/>
        <w:jc w:val="center"/>
        <w:tblLook w:val="04A0" w:firstRow="1" w:lastRow="0" w:firstColumn="1" w:lastColumn="0" w:noHBand="0" w:noVBand="1"/>
      </w:tblPr>
      <w:tblGrid>
        <w:gridCol w:w="2405"/>
        <w:gridCol w:w="6804"/>
      </w:tblGrid>
      <w:tr w:rsidR="00D444BA" w:rsidRPr="00985C41" w14:paraId="630E08D1" w14:textId="77777777" w:rsidTr="004D77BD">
        <w:trPr>
          <w:trHeight w:val="597"/>
          <w:jc w:val="center"/>
        </w:trPr>
        <w:tc>
          <w:tcPr>
            <w:tcW w:w="2405" w:type="dxa"/>
            <w:shd w:val="clear" w:color="auto" w:fill="FCE0B6"/>
            <w:vAlign w:val="center"/>
          </w:tcPr>
          <w:p w14:paraId="144F9D5E" w14:textId="6ACCEE73" w:rsidR="00DE3317" w:rsidRDefault="00D444BA" w:rsidP="00D444BA">
            <w:pPr>
              <w:spacing w:before="60" w:after="60" w:line="259" w:lineRule="auto"/>
              <w:ind w:left="0" w:right="33" w:firstLine="0"/>
              <w:jc w:val="center"/>
              <w:rPr>
                <w:rFonts w:ascii="Century Gothic" w:hAnsi="Century Gothic"/>
                <w:b/>
                <w:bCs/>
                <w:color w:val="C8102E"/>
                <w:sz w:val="22"/>
                <w:szCs w:val="22"/>
              </w:rPr>
            </w:pPr>
            <w:r w:rsidRPr="00EF6A5D">
              <w:rPr>
                <w:sz w:val="22"/>
                <w:szCs w:val="22"/>
              </w:rPr>
              <w:br w:type="page"/>
            </w:r>
            <w:r w:rsidRPr="00EF6A5D">
              <w:rPr>
                <w:rFonts w:ascii="Century Gothic" w:hAnsi="Century Gothic"/>
                <w:b/>
                <w:bCs/>
                <w:color w:val="C8102E"/>
                <w:sz w:val="22"/>
                <w:szCs w:val="22"/>
              </w:rPr>
              <w:t>Structure strip</w:t>
            </w:r>
          </w:p>
          <w:p w14:paraId="5490E33A" w14:textId="74817C67" w:rsidR="00D444BA" w:rsidRPr="00316926" w:rsidRDefault="00DA6512" w:rsidP="00D444BA">
            <w:pPr>
              <w:spacing w:before="60" w:after="60" w:line="259" w:lineRule="auto"/>
              <w:ind w:left="0" w:right="33" w:firstLine="0"/>
              <w:jc w:val="center"/>
              <w:rPr>
                <w:rFonts w:ascii="Century Gothic" w:hAnsi="Century Gothic"/>
                <w:b/>
                <w:bCs/>
                <w:color w:val="C8102E"/>
                <w:sz w:val="18"/>
                <w:szCs w:val="18"/>
              </w:rPr>
            </w:pPr>
            <w:r w:rsidRPr="004220B9">
              <w:rPr>
                <w:rFonts w:ascii="Century Gothic" w:hAnsi="Century Gothic"/>
                <w:b/>
                <w:bCs/>
                <w:color w:val="C8102E"/>
              </w:rPr>
              <w:t>T</w:t>
            </w:r>
            <w:r w:rsidR="00485523" w:rsidRPr="004220B9">
              <w:rPr>
                <w:rFonts w:ascii="Century Gothic" w:hAnsi="Century Gothic"/>
                <w:b/>
                <w:bCs/>
                <w:color w:val="C8102E"/>
              </w:rPr>
              <w:t>he politics of energy</w:t>
            </w:r>
          </w:p>
        </w:tc>
        <w:tc>
          <w:tcPr>
            <w:tcW w:w="6804" w:type="dxa"/>
            <w:shd w:val="clear" w:color="auto" w:fill="FCE0B6"/>
            <w:vAlign w:val="center"/>
          </w:tcPr>
          <w:p w14:paraId="556A1E02" w14:textId="66BB0E70" w:rsidR="00D444BA" w:rsidRPr="00EF6A5D" w:rsidRDefault="00D444BA" w:rsidP="00D444BA">
            <w:pPr>
              <w:spacing w:before="60" w:after="60" w:line="259" w:lineRule="auto"/>
              <w:ind w:left="0" w:right="-1" w:firstLine="0"/>
              <w:jc w:val="center"/>
              <w:rPr>
                <w:rFonts w:ascii="Century Gothic" w:hAnsi="Century Gothic"/>
                <w:b/>
                <w:bCs/>
                <w:color w:val="C8102E"/>
                <w:sz w:val="22"/>
                <w:szCs w:val="22"/>
              </w:rPr>
            </w:pPr>
            <w:r w:rsidRPr="00EF6A5D">
              <w:rPr>
                <w:rFonts w:ascii="Century Gothic" w:hAnsi="Century Gothic"/>
                <w:b/>
                <w:bCs/>
                <w:color w:val="C8102E"/>
                <w:sz w:val="22"/>
                <w:szCs w:val="22"/>
              </w:rPr>
              <w:t>Model answer</w:t>
            </w:r>
          </w:p>
        </w:tc>
      </w:tr>
      <w:tr w:rsidR="00D0002A" w:rsidRPr="00985C41" w14:paraId="4D10D7A0" w14:textId="77777777" w:rsidTr="00CB543E">
        <w:trPr>
          <w:trHeight w:val="1403"/>
          <w:jc w:val="center"/>
        </w:trPr>
        <w:tc>
          <w:tcPr>
            <w:tcW w:w="2405" w:type="dxa"/>
            <w:vAlign w:val="center"/>
          </w:tcPr>
          <w:p w14:paraId="2691C931" w14:textId="183DC5FD" w:rsidR="00D0002A" w:rsidRPr="00985C41" w:rsidRDefault="00D0002A" w:rsidP="00505B18">
            <w:pPr>
              <w:tabs>
                <w:tab w:val="left" w:pos="1593"/>
              </w:tabs>
              <w:spacing w:after="0" w:line="259" w:lineRule="auto"/>
              <w:ind w:left="0" w:firstLine="0"/>
              <w:jc w:val="left"/>
              <w:rPr>
                <w:rFonts w:ascii="Century Gothic" w:hAnsi="Century Gothic"/>
              </w:rPr>
            </w:pPr>
            <w:r w:rsidRPr="00280265">
              <w:rPr>
                <w:rFonts w:ascii="Century Gothic" w:hAnsi="Century Gothic"/>
                <w:sz w:val="22"/>
                <w:szCs w:val="22"/>
              </w:rPr>
              <w:t>Why has the war in Ukraine highlighted the need for investment in green energy?</w:t>
            </w:r>
          </w:p>
        </w:tc>
        <w:tc>
          <w:tcPr>
            <w:tcW w:w="6804" w:type="dxa"/>
            <w:vAlign w:val="center"/>
          </w:tcPr>
          <w:p w14:paraId="41E0184B" w14:textId="268E76FA" w:rsidR="00D0002A" w:rsidRPr="004B40A4" w:rsidRDefault="00D0002A" w:rsidP="00D802CD">
            <w:pPr>
              <w:tabs>
                <w:tab w:val="left" w:pos="6128"/>
              </w:tabs>
              <w:spacing w:after="0" w:line="259" w:lineRule="auto"/>
              <w:ind w:left="0" w:firstLine="0"/>
              <w:jc w:val="left"/>
              <w:rPr>
                <w:rFonts w:ascii="Century Gothic" w:hAnsi="Century Gothic"/>
                <w:i/>
                <w:iCs/>
              </w:rPr>
            </w:pPr>
            <w:r w:rsidRPr="00280265">
              <w:rPr>
                <w:rFonts w:ascii="Century Gothic" w:hAnsi="Century Gothic"/>
                <w:sz w:val="22"/>
                <w:szCs w:val="22"/>
              </w:rPr>
              <w:t>In 2019</w:t>
            </w:r>
            <w:r w:rsidR="00DE3317">
              <w:rPr>
                <w:rFonts w:ascii="Century Gothic" w:hAnsi="Century Gothic"/>
                <w:sz w:val="22"/>
                <w:szCs w:val="22"/>
              </w:rPr>
              <w:t>,</w:t>
            </w:r>
            <w:r w:rsidRPr="00280265">
              <w:rPr>
                <w:rFonts w:ascii="Century Gothic" w:hAnsi="Century Gothic"/>
                <w:sz w:val="22"/>
                <w:szCs w:val="22"/>
              </w:rPr>
              <w:t xml:space="preserve"> Europe got 40% of its gas and a quarter of its oil from Russia. Many countries have now imposed sanctions on Russia as financial penalties for invading Ukraine. The US and UK quickly banned Russian oil and gas imports.</w:t>
            </w:r>
          </w:p>
        </w:tc>
      </w:tr>
      <w:tr w:rsidR="00192BDB" w:rsidRPr="00985C41" w14:paraId="3FBF21B9" w14:textId="77777777" w:rsidTr="00EF6A5D">
        <w:trPr>
          <w:trHeight w:val="1512"/>
          <w:jc w:val="center"/>
        </w:trPr>
        <w:tc>
          <w:tcPr>
            <w:tcW w:w="2405" w:type="dxa"/>
            <w:vAlign w:val="center"/>
          </w:tcPr>
          <w:p w14:paraId="4BAF8AAF" w14:textId="77DD830F" w:rsidR="00192BDB" w:rsidRPr="00AB639C" w:rsidRDefault="00192BDB" w:rsidP="00505B18">
            <w:pPr>
              <w:tabs>
                <w:tab w:val="left" w:pos="1593"/>
              </w:tabs>
              <w:spacing w:after="0" w:line="259" w:lineRule="auto"/>
              <w:ind w:left="0" w:firstLine="0"/>
              <w:jc w:val="left"/>
              <w:rPr>
                <w:rFonts w:ascii="Century Gothic" w:hAnsi="Century Gothic"/>
                <w:b/>
                <w:bCs/>
              </w:rPr>
            </w:pPr>
            <w:r w:rsidRPr="00280265">
              <w:rPr>
                <w:rFonts w:ascii="Century Gothic" w:hAnsi="Century Gothic"/>
                <w:sz w:val="22"/>
                <w:szCs w:val="22"/>
              </w:rPr>
              <w:t xml:space="preserve">What are fossil fuels and why are we so reliant on them for our energy </w:t>
            </w:r>
            <w:r w:rsidR="00D7552F">
              <w:rPr>
                <w:rFonts w:ascii="Century Gothic" w:hAnsi="Century Gothic"/>
                <w:sz w:val="22"/>
                <w:szCs w:val="22"/>
              </w:rPr>
              <w:t xml:space="preserve">and transport </w:t>
            </w:r>
            <w:r w:rsidRPr="00280265">
              <w:rPr>
                <w:rFonts w:ascii="Century Gothic" w:hAnsi="Century Gothic"/>
                <w:sz w:val="22"/>
                <w:szCs w:val="22"/>
              </w:rPr>
              <w:t>needs?</w:t>
            </w:r>
          </w:p>
        </w:tc>
        <w:tc>
          <w:tcPr>
            <w:tcW w:w="6804" w:type="dxa"/>
            <w:vAlign w:val="center"/>
          </w:tcPr>
          <w:p w14:paraId="28682E26" w14:textId="021C5BE9" w:rsidR="00192BDB" w:rsidRPr="00EF6A5D" w:rsidRDefault="00192BDB" w:rsidP="00192BDB">
            <w:pPr>
              <w:tabs>
                <w:tab w:val="left" w:pos="6128"/>
              </w:tabs>
              <w:spacing w:after="0" w:line="259" w:lineRule="auto"/>
              <w:ind w:left="0" w:firstLine="0"/>
              <w:jc w:val="left"/>
              <w:rPr>
                <w:rFonts w:ascii="Century Gothic" w:hAnsi="Century Gothic"/>
                <w:sz w:val="22"/>
                <w:szCs w:val="22"/>
              </w:rPr>
            </w:pPr>
            <w:r w:rsidRPr="00280265">
              <w:rPr>
                <w:rFonts w:ascii="Century Gothic" w:hAnsi="Century Gothic"/>
                <w:sz w:val="22"/>
                <w:szCs w:val="22"/>
              </w:rPr>
              <w:t>Fossil fuels</w:t>
            </w:r>
            <w:r w:rsidR="00CB2B80">
              <w:rPr>
                <w:rFonts w:ascii="Century Gothic" w:hAnsi="Century Gothic"/>
                <w:sz w:val="22"/>
                <w:szCs w:val="22"/>
              </w:rPr>
              <w:t xml:space="preserve">, such as oil and gas, </w:t>
            </w:r>
            <w:r w:rsidRPr="00280265">
              <w:rPr>
                <w:rFonts w:ascii="Century Gothic" w:hAnsi="Century Gothic"/>
                <w:sz w:val="22"/>
                <w:szCs w:val="22"/>
              </w:rPr>
              <w:t xml:space="preserve">come from the fossilised remains of plants and animals that died millions of years ago. They are used to </w:t>
            </w:r>
            <w:r w:rsidR="00D7552F">
              <w:rPr>
                <w:rFonts w:ascii="Century Gothic" w:hAnsi="Century Gothic"/>
                <w:sz w:val="22"/>
                <w:szCs w:val="22"/>
              </w:rPr>
              <w:t xml:space="preserve">power vehicles, </w:t>
            </w:r>
            <w:r w:rsidRPr="00280265">
              <w:rPr>
                <w:rFonts w:ascii="Century Gothic" w:hAnsi="Century Gothic"/>
                <w:sz w:val="22"/>
                <w:szCs w:val="22"/>
              </w:rPr>
              <w:t xml:space="preserve">heat our homes and cook our food. We </w:t>
            </w:r>
            <w:r w:rsidR="00D802CD">
              <w:rPr>
                <w:rFonts w:ascii="Century Gothic" w:hAnsi="Century Gothic"/>
                <w:sz w:val="22"/>
                <w:szCs w:val="22"/>
              </w:rPr>
              <w:t xml:space="preserve">largely </w:t>
            </w:r>
            <w:r w:rsidRPr="00280265">
              <w:rPr>
                <w:rFonts w:ascii="Century Gothic" w:hAnsi="Century Gothic"/>
                <w:sz w:val="22"/>
                <w:szCs w:val="22"/>
              </w:rPr>
              <w:t xml:space="preserve">rely on natural gas because its cost per unit of energy is just a quarter of that of the electricity </w:t>
            </w:r>
            <w:r w:rsidR="00CB2B80">
              <w:rPr>
                <w:rFonts w:ascii="Century Gothic" w:hAnsi="Century Gothic"/>
                <w:sz w:val="22"/>
                <w:szCs w:val="22"/>
              </w:rPr>
              <w:t>we use</w:t>
            </w:r>
            <w:r w:rsidRPr="00280265">
              <w:rPr>
                <w:rFonts w:ascii="Century Gothic" w:hAnsi="Century Gothic"/>
                <w:sz w:val="22"/>
                <w:szCs w:val="22"/>
              </w:rPr>
              <w:t xml:space="preserve">. </w:t>
            </w:r>
          </w:p>
        </w:tc>
      </w:tr>
      <w:tr w:rsidR="00192BDB" w:rsidRPr="00985C41" w14:paraId="35601439" w14:textId="77777777" w:rsidTr="00D802CD">
        <w:trPr>
          <w:trHeight w:val="1399"/>
          <w:jc w:val="center"/>
        </w:trPr>
        <w:tc>
          <w:tcPr>
            <w:tcW w:w="2405" w:type="dxa"/>
            <w:vAlign w:val="center"/>
          </w:tcPr>
          <w:p w14:paraId="7D5FC18F" w14:textId="3BF05FD2" w:rsidR="00192BDB" w:rsidRDefault="00192BDB" w:rsidP="00505B18">
            <w:pPr>
              <w:tabs>
                <w:tab w:val="left" w:pos="1593"/>
              </w:tabs>
              <w:spacing w:after="0" w:line="259" w:lineRule="auto"/>
              <w:ind w:left="0" w:firstLine="0"/>
              <w:jc w:val="left"/>
              <w:rPr>
                <w:rFonts w:ascii="Century Gothic" w:hAnsi="Century Gothic"/>
              </w:rPr>
            </w:pPr>
            <w:r w:rsidRPr="00280265">
              <w:rPr>
                <w:rFonts w:ascii="Century Gothic" w:hAnsi="Century Gothic"/>
                <w:sz w:val="22"/>
                <w:szCs w:val="22"/>
              </w:rPr>
              <w:t>Draw the structures of the fi</w:t>
            </w:r>
            <w:r w:rsidRPr="00CB543E">
              <w:rPr>
                <w:rFonts w:ascii="Century Gothic" w:hAnsi="Century Gothic"/>
                <w:sz w:val="22"/>
                <w:szCs w:val="22"/>
              </w:rPr>
              <w:t>rst four alkanes</w:t>
            </w:r>
            <w:r w:rsidR="00226121" w:rsidRPr="00CB543E">
              <w:rPr>
                <w:rFonts w:ascii="Century Gothic" w:hAnsi="Century Gothic"/>
                <w:sz w:val="22"/>
                <w:szCs w:val="22"/>
              </w:rPr>
              <w:t xml:space="preserve"> </w:t>
            </w:r>
            <w:r w:rsidR="00B35A36" w:rsidRPr="00CB543E">
              <w:rPr>
                <w:rFonts w:ascii="Century Gothic" w:hAnsi="Century Gothic"/>
                <w:sz w:val="22"/>
                <w:szCs w:val="22"/>
              </w:rPr>
              <w:t>in the homologous series.</w:t>
            </w:r>
          </w:p>
        </w:tc>
        <w:tc>
          <w:tcPr>
            <w:tcW w:w="6804" w:type="dxa"/>
            <w:vAlign w:val="center"/>
          </w:tcPr>
          <w:p w14:paraId="5D919723" w14:textId="304C233F" w:rsidR="00192BDB" w:rsidRDefault="00D87159" w:rsidP="00192BDB">
            <w:pPr>
              <w:tabs>
                <w:tab w:val="left" w:pos="6128"/>
              </w:tabs>
              <w:spacing w:after="0" w:line="259" w:lineRule="auto"/>
              <w:jc w:val="left"/>
              <w:rPr>
                <w:rFonts w:ascii="Century Gothic" w:hAnsi="Century Gothic"/>
              </w:rPr>
            </w:pPr>
            <w:r>
              <w:rPr>
                <w:noProof/>
              </w:rPr>
              <w:drawing>
                <wp:anchor distT="0" distB="0" distL="114300" distR="114300" simplePos="0" relativeHeight="251659264" behindDoc="0" locked="0" layoutInCell="1" allowOverlap="1" wp14:anchorId="0CE37DFD" wp14:editId="70617E07">
                  <wp:simplePos x="0" y="0"/>
                  <wp:positionH relativeFrom="column">
                    <wp:posOffset>770255</wp:posOffset>
                  </wp:positionH>
                  <wp:positionV relativeFrom="paragraph">
                    <wp:posOffset>67310</wp:posOffset>
                  </wp:positionV>
                  <wp:extent cx="865505" cy="669290"/>
                  <wp:effectExtent l="0" t="0" r="0" b="0"/>
                  <wp:wrapNone/>
                  <wp:docPr id="5" name="Picture 5" descr="The displayed formula for et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displayed formula for ethane."/>
                          <pic:cNvPicPr/>
                        </pic:nvPicPr>
                        <pic:blipFill rotWithShape="1">
                          <a:blip r:embed="rId9" cstate="print">
                            <a:extLst>
                              <a:ext uri="{28A0092B-C50C-407E-A947-70E740481C1C}">
                                <a14:useLocalDpi xmlns:a14="http://schemas.microsoft.com/office/drawing/2010/main" val="0"/>
                              </a:ext>
                            </a:extLst>
                          </a:blip>
                          <a:srcRect l="9221" t="20001" r="10246" b="17709"/>
                          <a:stretch/>
                        </pic:blipFill>
                        <pic:spPr bwMode="auto">
                          <a:xfrm>
                            <a:off x="0" y="0"/>
                            <a:ext cx="865505" cy="669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63DA265" wp14:editId="3D41CAD0">
                  <wp:simplePos x="0" y="0"/>
                  <wp:positionH relativeFrom="column">
                    <wp:posOffset>1743710</wp:posOffset>
                  </wp:positionH>
                  <wp:positionV relativeFrom="paragraph">
                    <wp:posOffset>57150</wp:posOffset>
                  </wp:positionV>
                  <wp:extent cx="1056005" cy="679450"/>
                  <wp:effectExtent l="0" t="0" r="0" b="6350"/>
                  <wp:wrapNone/>
                  <wp:docPr id="6" name="Picture 6" descr="The displayed formula for pro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displayed formula for propane."/>
                          <pic:cNvPicPr/>
                        </pic:nvPicPr>
                        <pic:blipFill rotWithShape="1">
                          <a:blip r:embed="rId10" cstate="print">
                            <a:extLst>
                              <a:ext uri="{28A0092B-C50C-407E-A947-70E740481C1C}">
                                <a14:useLocalDpi xmlns:a14="http://schemas.microsoft.com/office/drawing/2010/main" val="0"/>
                              </a:ext>
                            </a:extLst>
                          </a:blip>
                          <a:srcRect t="17188" b="18526"/>
                          <a:stretch/>
                        </pic:blipFill>
                        <pic:spPr bwMode="auto">
                          <a:xfrm>
                            <a:off x="0" y="0"/>
                            <a:ext cx="1056005" cy="679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6063">
              <w:rPr>
                <w:noProof/>
              </w:rPr>
              <w:drawing>
                <wp:anchor distT="0" distB="0" distL="114300" distR="114300" simplePos="0" relativeHeight="251661312" behindDoc="0" locked="0" layoutInCell="1" allowOverlap="1" wp14:anchorId="4A69FA72" wp14:editId="6137A7E5">
                  <wp:simplePos x="0" y="0"/>
                  <wp:positionH relativeFrom="column">
                    <wp:posOffset>2886075</wp:posOffset>
                  </wp:positionH>
                  <wp:positionV relativeFrom="paragraph">
                    <wp:posOffset>59690</wp:posOffset>
                  </wp:positionV>
                  <wp:extent cx="1281430" cy="685800"/>
                  <wp:effectExtent l="0" t="0" r="0" b="0"/>
                  <wp:wrapNone/>
                  <wp:docPr id="7" name="Picture 7" descr="The displayed formula for but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displayed formula for butane."/>
                          <pic:cNvPicPr/>
                        </pic:nvPicPr>
                        <pic:blipFill rotWithShape="1">
                          <a:blip r:embed="rId11" cstate="print">
                            <a:extLst>
                              <a:ext uri="{28A0092B-C50C-407E-A947-70E740481C1C}">
                                <a14:useLocalDpi xmlns:a14="http://schemas.microsoft.com/office/drawing/2010/main" val="0"/>
                              </a:ext>
                            </a:extLst>
                          </a:blip>
                          <a:srcRect l="5102" t="16603" r="7143" b="16988"/>
                          <a:stretch/>
                        </pic:blipFill>
                        <pic:spPr bwMode="auto">
                          <a:xfrm>
                            <a:off x="0" y="0"/>
                            <a:ext cx="1281430"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6063">
              <w:rPr>
                <w:noProof/>
              </w:rPr>
              <w:drawing>
                <wp:anchor distT="0" distB="0" distL="114300" distR="114300" simplePos="0" relativeHeight="251662336" behindDoc="0" locked="0" layoutInCell="1" allowOverlap="1" wp14:anchorId="608FCE56" wp14:editId="48D3D3B7">
                  <wp:simplePos x="0" y="0"/>
                  <wp:positionH relativeFrom="column">
                    <wp:posOffset>-18415</wp:posOffset>
                  </wp:positionH>
                  <wp:positionV relativeFrom="paragraph">
                    <wp:posOffset>33655</wp:posOffset>
                  </wp:positionV>
                  <wp:extent cx="685800" cy="721995"/>
                  <wp:effectExtent l="0" t="0" r="0" b="1905"/>
                  <wp:wrapNone/>
                  <wp:docPr id="4" name="Picture 4" descr="The displayed formula for met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displayed formula for methane."/>
                          <pic:cNvPicPr/>
                        </pic:nvPicPr>
                        <pic:blipFill rotWithShape="1">
                          <a:blip r:embed="rId12" cstate="print">
                            <a:extLst>
                              <a:ext uri="{28A0092B-C50C-407E-A947-70E740481C1C}">
                                <a14:useLocalDpi xmlns:a14="http://schemas.microsoft.com/office/drawing/2010/main" val="0"/>
                              </a:ext>
                            </a:extLst>
                          </a:blip>
                          <a:srcRect l="18543" t="15899" r="18543" b="17856"/>
                          <a:stretch/>
                        </pic:blipFill>
                        <pic:spPr bwMode="auto">
                          <a:xfrm>
                            <a:off x="0" y="0"/>
                            <a:ext cx="685800" cy="721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192BDB" w:rsidRPr="00985C41" w14:paraId="3BB716B1" w14:textId="77777777" w:rsidTr="00EF6A5D">
        <w:trPr>
          <w:trHeight w:val="1881"/>
          <w:jc w:val="center"/>
        </w:trPr>
        <w:tc>
          <w:tcPr>
            <w:tcW w:w="2405" w:type="dxa"/>
            <w:vAlign w:val="center"/>
          </w:tcPr>
          <w:p w14:paraId="46BC8FF3" w14:textId="51321EEA" w:rsidR="00192BDB" w:rsidRPr="00826D9C" w:rsidRDefault="00192BDB" w:rsidP="00505B18">
            <w:pPr>
              <w:spacing w:line="259" w:lineRule="auto"/>
              <w:ind w:left="0" w:right="34" w:firstLine="0"/>
              <w:jc w:val="left"/>
              <w:rPr>
                <w:rFonts w:ascii="Century Gothic" w:hAnsi="Century Gothic"/>
                <w:sz w:val="22"/>
                <w:szCs w:val="22"/>
              </w:rPr>
            </w:pPr>
            <w:r w:rsidRPr="00280265">
              <w:rPr>
                <w:rFonts w:ascii="Century Gothic" w:hAnsi="Century Gothic"/>
                <w:sz w:val="22"/>
                <w:szCs w:val="22"/>
              </w:rPr>
              <w:t>How does burning fossil fuels contribute to climate change?</w:t>
            </w:r>
          </w:p>
        </w:tc>
        <w:tc>
          <w:tcPr>
            <w:tcW w:w="6804" w:type="dxa"/>
            <w:vAlign w:val="center"/>
          </w:tcPr>
          <w:p w14:paraId="4AEB30AC" w14:textId="7924B8F9" w:rsidR="00192BDB" w:rsidRPr="005C6D98" w:rsidRDefault="00192BDB" w:rsidP="00192BDB">
            <w:pPr>
              <w:tabs>
                <w:tab w:val="left" w:pos="6128"/>
              </w:tabs>
              <w:spacing w:after="0" w:line="259" w:lineRule="auto"/>
              <w:ind w:left="31" w:firstLine="0"/>
              <w:jc w:val="left"/>
              <w:rPr>
                <w:rFonts w:ascii="Century Gothic" w:hAnsi="Century Gothic"/>
                <w:i/>
                <w:iCs/>
              </w:rPr>
            </w:pPr>
            <w:r w:rsidRPr="00280265">
              <w:rPr>
                <w:rFonts w:ascii="Century Gothic" w:hAnsi="Century Gothic"/>
                <w:sz w:val="22"/>
                <w:szCs w:val="22"/>
              </w:rPr>
              <w:t>Burning fossil fuels produces water and carbon dioxide</w:t>
            </w:r>
            <w:r w:rsidR="00AB53B2">
              <w:rPr>
                <w:rFonts w:ascii="Century Gothic" w:hAnsi="Century Gothic"/>
                <w:sz w:val="22"/>
                <w:szCs w:val="22"/>
              </w:rPr>
              <w:t xml:space="preserve"> (CO</w:t>
            </w:r>
            <w:r w:rsidR="00AB53B2" w:rsidRPr="00D30766">
              <w:rPr>
                <w:rFonts w:ascii="Century Gothic" w:hAnsi="Century Gothic"/>
                <w:sz w:val="22"/>
                <w:szCs w:val="22"/>
                <w:vertAlign w:val="subscript"/>
              </w:rPr>
              <w:t>2</w:t>
            </w:r>
            <w:r w:rsidR="00AB53B2">
              <w:rPr>
                <w:rFonts w:ascii="Century Gothic" w:hAnsi="Century Gothic"/>
                <w:sz w:val="22"/>
                <w:szCs w:val="22"/>
              </w:rPr>
              <w:t>)</w:t>
            </w:r>
            <w:r w:rsidRPr="00280265">
              <w:rPr>
                <w:rFonts w:ascii="Century Gothic" w:hAnsi="Century Gothic"/>
                <w:sz w:val="22"/>
                <w:szCs w:val="22"/>
              </w:rPr>
              <w:t>. CO</w:t>
            </w:r>
            <w:r w:rsidRPr="00280265">
              <w:rPr>
                <w:rFonts w:ascii="Century Gothic" w:hAnsi="Century Gothic"/>
                <w:sz w:val="22"/>
                <w:szCs w:val="22"/>
                <w:vertAlign w:val="subscript"/>
              </w:rPr>
              <w:t>2</w:t>
            </w:r>
            <w:r w:rsidRPr="00280265">
              <w:rPr>
                <w:rFonts w:ascii="Century Gothic" w:hAnsi="Century Gothic"/>
                <w:sz w:val="22"/>
                <w:szCs w:val="22"/>
              </w:rPr>
              <w:t xml:space="preserve"> is a greenhouse gas that acts as an insulating blanket in </w:t>
            </w:r>
            <w:r w:rsidR="00CB543E">
              <w:rPr>
                <w:rFonts w:ascii="Century Gothic" w:hAnsi="Century Gothic"/>
                <w:sz w:val="22"/>
                <w:szCs w:val="22"/>
              </w:rPr>
              <w:t xml:space="preserve">the </w:t>
            </w:r>
            <w:r w:rsidRPr="00280265">
              <w:rPr>
                <w:rFonts w:ascii="Century Gothic" w:hAnsi="Century Gothic"/>
                <w:sz w:val="22"/>
                <w:szCs w:val="22"/>
              </w:rPr>
              <w:t xml:space="preserve">Earth’s atmosphere. It retains </w:t>
            </w:r>
            <w:r w:rsidR="00D00CD3">
              <w:rPr>
                <w:rFonts w:ascii="Century Gothic" w:hAnsi="Century Gothic"/>
                <w:sz w:val="22"/>
                <w:szCs w:val="22"/>
              </w:rPr>
              <w:t>energy</w:t>
            </w:r>
            <w:r w:rsidR="00D00CD3" w:rsidRPr="00280265">
              <w:rPr>
                <w:rFonts w:ascii="Century Gothic" w:hAnsi="Century Gothic"/>
                <w:sz w:val="22"/>
                <w:szCs w:val="22"/>
              </w:rPr>
              <w:t xml:space="preserve"> </w:t>
            </w:r>
            <w:r w:rsidRPr="00280265">
              <w:rPr>
                <w:rFonts w:ascii="Century Gothic" w:hAnsi="Century Gothic"/>
                <w:sz w:val="22"/>
                <w:szCs w:val="22"/>
              </w:rPr>
              <w:t xml:space="preserve">that </w:t>
            </w:r>
            <w:r w:rsidR="00CB543E">
              <w:rPr>
                <w:rFonts w:ascii="Century Gothic" w:hAnsi="Century Gothic"/>
                <w:sz w:val="22"/>
                <w:szCs w:val="22"/>
              </w:rPr>
              <w:t xml:space="preserve">the </w:t>
            </w:r>
            <w:r w:rsidRPr="00280265">
              <w:rPr>
                <w:rFonts w:ascii="Century Gothic" w:hAnsi="Century Gothic"/>
                <w:sz w:val="22"/>
                <w:szCs w:val="22"/>
              </w:rPr>
              <w:t>Earth has absorbed from the Sun an</w:t>
            </w:r>
            <w:r w:rsidRPr="00CB543E">
              <w:rPr>
                <w:rFonts w:ascii="Century Gothic" w:hAnsi="Century Gothic"/>
                <w:sz w:val="22"/>
                <w:szCs w:val="22"/>
              </w:rPr>
              <w:t>d then emitted again as infrared radiation.</w:t>
            </w:r>
            <w:r w:rsidRPr="00280265">
              <w:rPr>
                <w:rFonts w:ascii="Century Gothic" w:hAnsi="Century Gothic"/>
                <w:sz w:val="22"/>
                <w:szCs w:val="22"/>
              </w:rPr>
              <w:t xml:space="preserve"> </w:t>
            </w:r>
            <w:r w:rsidR="003915AD">
              <w:rPr>
                <w:rFonts w:ascii="Century Gothic" w:hAnsi="Century Gothic"/>
                <w:sz w:val="22"/>
                <w:szCs w:val="22"/>
              </w:rPr>
              <w:t>This</w:t>
            </w:r>
            <w:r w:rsidRPr="00280265">
              <w:rPr>
                <w:rFonts w:ascii="Century Gothic" w:hAnsi="Century Gothic"/>
                <w:sz w:val="22"/>
                <w:szCs w:val="22"/>
              </w:rPr>
              <w:t xml:space="preserve"> warms the planet</w:t>
            </w:r>
            <w:r w:rsidR="004D2656">
              <w:rPr>
                <w:rFonts w:ascii="Century Gothic" w:hAnsi="Century Gothic"/>
                <w:sz w:val="22"/>
                <w:szCs w:val="22"/>
              </w:rPr>
              <w:t xml:space="preserve"> </w:t>
            </w:r>
            <w:r w:rsidR="003915AD">
              <w:rPr>
                <w:rFonts w:ascii="Century Gothic" w:hAnsi="Century Gothic"/>
                <w:sz w:val="22"/>
                <w:szCs w:val="22"/>
              </w:rPr>
              <w:t xml:space="preserve">and </w:t>
            </w:r>
            <w:r w:rsidRPr="00280265">
              <w:rPr>
                <w:rFonts w:ascii="Century Gothic" w:hAnsi="Century Gothic"/>
                <w:sz w:val="22"/>
                <w:szCs w:val="22"/>
              </w:rPr>
              <w:t>leads to climate</w:t>
            </w:r>
            <w:r w:rsidR="00D7552F">
              <w:rPr>
                <w:rFonts w:ascii="Century Gothic" w:hAnsi="Century Gothic"/>
                <w:sz w:val="22"/>
                <w:szCs w:val="22"/>
              </w:rPr>
              <w:t xml:space="preserve"> </w:t>
            </w:r>
            <w:r w:rsidRPr="00280265">
              <w:rPr>
                <w:rFonts w:ascii="Century Gothic" w:hAnsi="Century Gothic"/>
                <w:sz w:val="22"/>
                <w:szCs w:val="22"/>
              </w:rPr>
              <w:t xml:space="preserve">change. </w:t>
            </w:r>
          </w:p>
        </w:tc>
      </w:tr>
      <w:tr w:rsidR="00192BDB" w:rsidRPr="00985C41" w14:paraId="1D76AC68" w14:textId="77777777" w:rsidTr="00EF6A5D">
        <w:trPr>
          <w:trHeight w:val="1823"/>
          <w:jc w:val="center"/>
        </w:trPr>
        <w:tc>
          <w:tcPr>
            <w:tcW w:w="2405" w:type="dxa"/>
            <w:vAlign w:val="center"/>
          </w:tcPr>
          <w:p w14:paraId="1B916CA5" w14:textId="5247B201" w:rsidR="00EF6A5D" w:rsidRPr="00EF6A5D" w:rsidRDefault="00192BDB" w:rsidP="00EF6A5D">
            <w:pPr>
              <w:spacing w:line="259" w:lineRule="auto"/>
              <w:ind w:left="0" w:right="34" w:firstLine="0"/>
              <w:jc w:val="left"/>
              <w:rPr>
                <w:rFonts w:ascii="Century Gothic" w:hAnsi="Century Gothic"/>
                <w:sz w:val="22"/>
                <w:szCs w:val="22"/>
              </w:rPr>
            </w:pPr>
            <w:r w:rsidRPr="00280265">
              <w:rPr>
                <w:rFonts w:ascii="Century Gothic" w:hAnsi="Century Gothic"/>
                <w:sz w:val="22"/>
                <w:szCs w:val="22"/>
              </w:rPr>
              <w:t>How is farm and food waste used to generate green energy?</w:t>
            </w:r>
          </w:p>
        </w:tc>
        <w:tc>
          <w:tcPr>
            <w:tcW w:w="6804" w:type="dxa"/>
            <w:vAlign w:val="center"/>
          </w:tcPr>
          <w:p w14:paraId="3501B482" w14:textId="55BBF681" w:rsidR="00EF6A5D" w:rsidRPr="00EF6A5D" w:rsidRDefault="00192BDB" w:rsidP="00EF6A5D">
            <w:pPr>
              <w:tabs>
                <w:tab w:val="left" w:pos="6128"/>
              </w:tabs>
              <w:spacing w:after="0" w:line="259" w:lineRule="auto"/>
              <w:ind w:left="31" w:firstLine="0"/>
              <w:jc w:val="left"/>
              <w:rPr>
                <w:rFonts w:ascii="Century Gothic" w:hAnsi="Century Gothic"/>
                <w:sz w:val="22"/>
                <w:szCs w:val="22"/>
              </w:rPr>
            </w:pPr>
            <w:r w:rsidRPr="00280265">
              <w:rPr>
                <w:rFonts w:ascii="Century Gothic" w:hAnsi="Century Gothic"/>
                <w:sz w:val="22"/>
                <w:szCs w:val="22"/>
              </w:rPr>
              <w:t xml:space="preserve">Microbes can turn farm, food and landfill waste into ‘green gas’. This is done in closed containers called digesters, without air (anaerobic digestion). </w:t>
            </w:r>
            <w:r w:rsidR="005F2BEB">
              <w:rPr>
                <w:rFonts w:ascii="Century Gothic" w:hAnsi="Century Gothic"/>
                <w:sz w:val="22"/>
                <w:szCs w:val="22"/>
              </w:rPr>
              <w:t>Green</w:t>
            </w:r>
            <w:r w:rsidRPr="00280265">
              <w:rPr>
                <w:rFonts w:ascii="Century Gothic" w:hAnsi="Century Gothic"/>
                <w:sz w:val="22"/>
                <w:szCs w:val="22"/>
              </w:rPr>
              <w:t xml:space="preserve"> gas is put into the same national grid that fossil-based natural gas flows through. </w:t>
            </w:r>
            <w:r w:rsidR="005F2BEB">
              <w:rPr>
                <w:rFonts w:ascii="Century Gothic" w:hAnsi="Century Gothic"/>
                <w:sz w:val="22"/>
                <w:szCs w:val="22"/>
              </w:rPr>
              <w:t>Green</w:t>
            </w:r>
            <w:r w:rsidRPr="00280265">
              <w:rPr>
                <w:rFonts w:ascii="Century Gothic" w:hAnsi="Century Gothic"/>
                <w:sz w:val="22"/>
                <w:szCs w:val="22"/>
              </w:rPr>
              <w:t xml:space="preserve"> gas is cleaner and less problematic than buying</w:t>
            </w:r>
            <w:r w:rsidR="00CB543E">
              <w:rPr>
                <w:rFonts w:ascii="Century Gothic" w:hAnsi="Century Gothic"/>
                <w:sz w:val="22"/>
                <w:szCs w:val="22"/>
              </w:rPr>
              <w:t xml:space="preserve"> natural gas and oil</w:t>
            </w:r>
            <w:r w:rsidRPr="00280265">
              <w:rPr>
                <w:rFonts w:ascii="Century Gothic" w:hAnsi="Century Gothic"/>
                <w:sz w:val="22"/>
                <w:szCs w:val="22"/>
              </w:rPr>
              <w:t xml:space="preserve"> from countries like Russia.</w:t>
            </w:r>
          </w:p>
        </w:tc>
      </w:tr>
      <w:tr w:rsidR="00192BDB" w:rsidRPr="00985C41" w14:paraId="27BE10D3" w14:textId="77777777" w:rsidTr="00EF6A5D">
        <w:trPr>
          <w:trHeight w:val="1977"/>
          <w:jc w:val="center"/>
        </w:trPr>
        <w:tc>
          <w:tcPr>
            <w:tcW w:w="2405" w:type="dxa"/>
            <w:vAlign w:val="center"/>
          </w:tcPr>
          <w:p w14:paraId="7641069A" w14:textId="23E59BD4" w:rsidR="00192BDB" w:rsidRPr="0087322B" w:rsidRDefault="00192BDB" w:rsidP="00505B18">
            <w:pPr>
              <w:spacing w:line="259" w:lineRule="auto"/>
              <w:ind w:left="29" w:right="34" w:hanging="29"/>
              <w:jc w:val="left"/>
              <w:rPr>
                <w:rFonts w:ascii="Century Gothic" w:hAnsi="Century Gothic"/>
              </w:rPr>
            </w:pPr>
            <w:r w:rsidRPr="00280265">
              <w:rPr>
                <w:rFonts w:ascii="Century Gothic" w:hAnsi="Century Gothic"/>
                <w:sz w:val="22"/>
                <w:szCs w:val="22"/>
              </w:rPr>
              <w:t xml:space="preserve">What promises </w:t>
            </w:r>
            <w:r w:rsidR="005F2BEB">
              <w:rPr>
                <w:rFonts w:ascii="Century Gothic" w:hAnsi="Century Gothic"/>
                <w:sz w:val="22"/>
                <w:szCs w:val="22"/>
              </w:rPr>
              <w:t>and progress have</w:t>
            </w:r>
            <w:r w:rsidRPr="00280265">
              <w:rPr>
                <w:rFonts w:ascii="Century Gothic" w:hAnsi="Century Gothic"/>
                <w:sz w:val="22"/>
                <w:szCs w:val="22"/>
              </w:rPr>
              <w:t xml:space="preserve"> the UK and Ireland made </w:t>
            </w:r>
            <w:r w:rsidR="005F2BEB">
              <w:rPr>
                <w:rFonts w:ascii="Century Gothic" w:hAnsi="Century Gothic"/>
                <w:sz w:val="22"/>
                <w:szCs w:val="22"/>
              </w:rPr>
              <w:t>concerning</w:t>
            </w:r>
            <w:r w:rsidRPr="00280265">
              <w:rPr>
                <w:rFonts w:ascii="Century Gothic" w:hAnsi="Century Gothic"/>
                <w:sz w:val="22"/>
                <w:szCs w:val="22"/>
              </w:rPr>
              <w:t xml:space="preserve"> greenhouse emissions</w:t>
            </w:r>
            <w:r w:rsidR="005F2BEB">
              <w:rPr>
                <w:rFonts w:ascii="Century Gothic" w:hAnsi="Century Gothic"/>
                <w:sz w:val="22"/>
                <w:szCs w:val="22"/>
              </w:rPr>
              <w:t>?</w:t>
            </w:r>
          </w:p>
        </w:tc>
        <w:tc>
          <w:tcPr>
            <w:tcW w:w="6804" w:type="dxa"/>
            <w:vAlign w:val="center"/>
          </w:tcPr>
          <w:p w14:paraId="37A74991" w14:textId="737E6CA6" w:rsidR="00192BDB" w:rsidRPr="00615014" w:rsidRDefault="00192BDB" w:rsidP="00192BDB">
            <w:pPr>
              <w:tabs>
                <w:tab w:val="left" w:pos="6128"/>
              </w:tabs>
              <w:spacing w:after="0" w:line="259" w:lineRule="auto"/>
              <w:ind w:left="31" w:firstLine="0"/>
              <w:jc w:val="left"/>
              <w:rPr>
                <w:rFonts w:ascii="Century Gothic" w:hAnsi="Century Gothic"/>
                <w:i/>
                <w:iCs/>
              </w:rPr>
            </w:pPr>
            <w:r w:rsidRPr="00280265">
              <w:rPr>
                <w:rFonts w:ascii="Century Gothic" w:hAnsi="Century Gothic"/>
                <w:sz w:val="22"/>
                <w:szCs w:val="22"/>
              </w:rPr>
              <w:t>The UK and Ireland have promise</w:t>
            </w:r>
            <w:r w:rsidR="005F2BEB">
              <w:rPr>
                <w:rFonts w:ascii="Century Gothic" w:hAnsi="Century Gothic"/>
                <w:sz w:val="22"/>
                <w:szCs w:val="22"/>
              </w:rPr>
              <w:t>d</w:t>
            </w:r>
            <w:r w:rsidRPr="00280265">
              <w:rPr>
                <w:rFonts w:ascii="Century Gothic" w:hAnsi="Century Gothic"/>
                <w:sz w:val="22"/>
                <w:szCs w:val="22"/>
              </w:rPr>
              <w:t xml:space="preserve"> </w:t>
            </w:r>
            <w:r w:rsidR="005F2BEB">
              <w:rPr>
                <w:rFonts w:ascii="Century Gothic" w:hAnsi="Century Gothic"/>
                <w:sz w:val="22"/>
                <w:szCs w:val="22"/>
              </w:rPr>
              <w:t>that</w:t>
            </w:r>
            <w:r w:rsidRPr="00280265">
              <w:rPr>
                <w:rFonts w:ascii="Century Gothic" w:hAnsi="Century Gothic"/>
                <w:sz w:val="22"/>
                <w:szCs w:val="22"/>
              </w:rPr>
              <w:t xml:space="preserve"> their greenhouse gas emissions </w:t>
            </w:r>
            <w:r w:rsidR="005F2BEB">
              <w:rPr>
                <w:rFonts w:ascii="Century Gothic" w:hAnsi="Century Gothic"/>
                <w:sz w:val="22"/>
                <w:szCs w:val="22"/>
              </w:rPr>
              <w:t>will</w:t>
            </w:r>
            <w:r w:rsidRPr="00280265">
              <w:rPr>
                <w:rFonts w:ascii="Century Gothic" w:hAnsi="Century Gothic"/>
                <w:sz w:val="22"/>
                <w:szCs w:val="22"/>
              </w:rPr>
              <w:t xml:space="preserve"> reach net zero by 2050, </w:t>
            </w:r>
            <w:r w:rsidR="005F2BEB">
              <w:rPr>
                <w:rFonts w:ascii="Century Gothic" w:hAnsi="Century Gothic"/>
                <w:sz w:val="22"/>
                <w:szCs w:val="22"/>
              </w:rPr>
              <w:t>meaning</w:t>
            </w:r>
            <w:r w:rsidRPr="00280265">
              <w:rPr>
                <w:rFonts w:ascii="Century Gothic" w:hAnsi="Century Gothic"/>
                <w:sz w:val="22"/>
                <w:szCs w:val="22"/>
              </w:rPr>
              <w:t xml:space="preserve"> any emissions will be balanced out by efforts to remove greenhouse gases already in the atmosphere. Electricity will have to come from renewable, carbon-neutral sources, instead of from oil and gas. UK renewable electricity generation has doubled since 2014. It currently stands at nearly half of </w:t>
            </w:r>
            <w:r w:rsidR="00CB543E">
              <w:rPr>
                <w:rFonts w:ascii="Century Gothic" w:hAnsi="Century Gothic"/>
                <w:sz w:val="22"/>
                <w:szCs w:val="22"/>
              </w:rPr>
              <w:t xml:space="preserve">the </w:t>
            </w:r>
            <w:r w:rsidRPr="00280265">
              <w:rPr>
                <w:rFonts w:ascii="Century Gothic" w:hAnsi="Century Gothic"/>
                <w:sz w:val="22"/>
                <w:szCs w:val="22"/>
              </w:rPr>
              <w:t>overall output.</w:t>
            </w:r>
          </w:p>
        </w:tc>
      </w:tr>
      <w:tr w:rsidR="005F2BEB" w:rsidRPr="00985C41" w14:paraId="588F4425" w14:textId="77777777" w:rsidTr="00EF6A5D">
        <w:trPr>
          <w:trHeight w:val="1414"/>
          <w:jc w:val="center"/>
        </w:trPr>
        <w:tc>
          <w:tcPr>
            <w:tcW w:w="2405" w:type="dxa"/>
            <w:vAlign w:val="center"/>
          </w:tcPr>
          <w:p w14:paraId="6B706688" w14:textId="34168C2F" w:rsidR="00EF6A5D" w:rsidRPr="00280265" w:rsidRDefault="005F2BEB" w:rsidP="00505B18">
            <w:pPr>
              <w:spacing w:line="259" w:lineRule="auto"/>
              <w:ind w:left="0" w:right="34" w:firstLine="0"/>
              <w:jc w:val="left"/>
              <w:rPr>
                <w:rFonts w:ascii="Century Gothic" w:hAnsi="Century Gothic"/>
                <w:sz w:val="22"/>
                <w:szCs w:val="22"/>
              </w:rPr>
            </w:pPr>
            <w:r>
              <w:rPr>
                <w:rFonts w:ascii="Century Gothic" w:hAnsi="Century Gothic"/>
                <w:sz w:val="22"/>
                <w:szCs w:val="22"/>
              </w:rPr>
              <w:t>What is the best way to reduce our reliance on fossil fuels?</w:t>
            </w:r>
          </w:p>
        </w:tc>
        <w:tc>
          <w:tcPr>
            <w:tcW w:w="6804" w:type="dxa"/>
            <w:vAlign w:val="center"/>
          </w:tcPr>
          <w:p w14:paraId="521A5DDA" w14:textId="738FA8DE" w:rsidR="00EF6A5D" w:rsidRPr="001A2709" w:rsidRDefault="001A2709" w:rsidP="00EF6A5D">
            <w:pPr>
              <w:tabs>
                <w:tab w:val="left" w:pos="6128"/>
              </w:tabs>
              <w:spacing w:after="0" w:line="259" w:lineRule="auto"/>
              <w:ind w:left="31" w:firstLine="0"/>
              <w:jc w:val="left"/>
              <w:rPr>
                <w:rFonts w:ascii="Century Gothic" w:hAnsi="Century Gothic"/>
                <w:sz w:val="22"/>
                <w:szCs w:val="22"/>
              </w:rPr>
            </w:pPr>
            <w:r w:rsidRPr="001A2709">
              <w:rPr>
                <w:rFonts w:ascii="Century Gothic" w:hAnsi="Century Gothic"/>
                <w:sz w:val="22"/>
                <w:szCs w:val="22"/>
              </w:rPr>
              <w:t xml:space="preserve">The best way to reduce our reliance </w:t>
            </w:r>
            <w:r>
              <w:rPr>
                <w:rFonts w:ascii="Century Gothic" w:hAnsi="Century Gothic"/>
                <w:sz w:val="22"/>
                <w:szCs w:val="22"/>
              </w:rPr>
              <w:t>o</w:t>
            </w:r>
            <w:r w:rsidRPr="001A2709">
              <w:rPr>
                <w:rFonts w:ascii="Century Gothic" w:hAnsi="Century Gothic"/>
                <w:sz w:val="22"/>
                <w:szCs w:val="22"/>
              </w:rPr>
              <w:t>n fossil fuels is to use less energy. To do this we could turn down thermostats, work from home more, if possible, use public transport</w:t>
            </w:r>
            <w:r w:rsidR="0041616A">
              <w:rPr>
                <w:rFonts w:ascii="Century Gothic" w:hAnsi="Century Gothic"/>
                <w:sz w:val="22"/>
                <w:szCs w:val="22"/>
              </w:rPr>
              <w:t xml:space="preserve">, </w:t>
            </w:r>
            <w:r w:rsidRPr="001A2709">
              <w:rPr>
                <w:rFonts w:ascii="Century Gothic" w:hAnsi="Century Gothic"/>
                <w:sz w:val="22"/>
                <w:szCs w:val="22"/>
              </w:rPr>
              <w:t xml:space="preserve">walk more </w:t>
            </w:r>
            <w:r w:rsidR="0041616A">
              <w:rPr>
                <w:rFonts w:ascii="Century Gothic" w:hAnsi="Century Gothic"/>
                <w:sz w:val="22"/>
                <w:szCs w:val="22"/>
              </w:rPr>
              <w:t>and</w:t>
            </w:r>
            <w:r w:rsidRPr="001A2709">
              <w:rPr>
                <w:rFonts w:ascii="Century Gothic" w:hAnsi="Century Gothic"/>
                <w:sz w:val="22"/>
                <w:szCs w:val="22"/>
              </w:rPr>
              <w:t xml:space="preserve"> driv</w:t>
            </w:r>
            <w:r>
              <w:rPr>
                <w:rFonts w:ascii="Century Gothic" w:hAnsi="Century Gothic"/>
                <w:sz w:val="22"/>
                <w:szCs w:val="22"/>
              </w:rPr>
              <w:t>e</w:t>
            </w:r>
            <w:r w:rsidRPr="001A2709">
              <w:rPr>
                <w:rFonts w:ascii="Century Gothic" w:hAnsi="Century Gothic"/>
                <w:sz w:val="22"/>
                <w:szCs w:val="22"/>
              </w:rPr>
              <w:t xml:space="preserve"> slower if we need to drive.</w:t>
            </w:r>
          </w:p>
        </w:tc>
      </w:tr>
    </w:tbl>
    <w:p w14:paraId="798AC574" w14:textId="77777777" w:rsidR="00D444BA" w:rsidRPr="00CD5E3C" w:rsidRDefault="00D444BA" w:rsidP="00CB2B80">
      <w:pPr>
        <w:pStyle w:val="RSCBasictext"/>
      </w:pPr>
    </w:p>
    <w:sectPr w:rsidR="00D444BA" w:rsidRPr="00CD5E3C" w:rsidSect="00231C1C">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1CB8" w14:textId="77777777" w:rsidR="008205BB" w:rsidRDefault="008205BB" w:rsidP="008A1B0B">
      <w:pPr>
        <w:spacing w:after="0" w:line="240" w:lineRule="auto"/>
      </w:pPr>
      <w:r>
        <w:separator/>
      </w:r>
    </w:p>
  </w:endnote>
  <w:endnote w:type="continuationSeparator" w:id="0">
    <w:p w14:paraId="430C2B65" w14:textId="77777777" w:rsidR="008205BB" w:rsidRDefault="008205BB"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72D6506"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0806ED">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CE4E" w14:textId="77777777" w:rsidR="008205BB" w:rsidRDefault="008205BB" w:rsidP="008A1B0B">
      <w:pPr>
        <w:spacing w:after="0" w:line="240" w:lineRule="auto"/>
      </w:pPr>
      <w:r>
        <w:separator/>
      </w:r>
    </w:p>
  </w:footnote>
  <w:footnote w:type="continuationSeparator" w:id="0">
    <w:p w14:paraId="0839F396" w14:textId="77777777" w:rsidR="008205BB" w:rsidRDefault="008205BB"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50BB9EFC"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5417C697">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65CBBCD3">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991803">
      <w:rPr>
        <w:rFonts w:ascii="Century Gothic" w:hAnsi="Century Gothic"/>
        <w:b/>
        <w:bCs/>
        <w:color w:val="C8102E"/>
        <w:sz w:val="30"/>
        <w:szCs w:val="30"/>
      </w:rPr>
      <w:t xml:space="preserve">Education in Chemistry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60680D8B" w:rsidR="00EF3FDA" w:rsidRPr="005F0459" w:rsidRDefault="00AB639C"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D</w:t>
    </w:r>
    <w:r w:rsidR="003F2EF3">
      <w:rPr>
        <w:rFonts w:ascii="Century Gothic" w:hAnsi="Century Gothic"/>
        <w:b/>
        <w:bCs/>
        <w:color w:val="000000" w:themeColor="text1"/>
        <w:sz w:val="18"/>
        <w:szCs w:val="18"/>
      </w:rPr>
      <w:t>ownloaded from</w:t>
    </w:r>
    <w:r w:rsidR="00EF3FDA" w:rsidRPr="005F0459">
      <w:rPr>
        <w:rFonts w:ascii="Century Gothic" w:hAnsi="Century Gothic"/>
        <w:b/>
        <w:bCs/>
        <w:color w:val="000000" w:themeColor="text1"/>
        <w:sz w:val="18"/>
        <w:szCs w:val="18"/>
      </w:rPr>
      <w:t xml:space="preserve"> </w:t>
    </w:r>
    <w:r w:rsidR="000531EC" w:rsidRPr="000531EC">
      <w:rPr>
        <w:rStyle w:val="Hyperlink"/>
        <w:rFonts w:ascii="Century Gothic" w:hAnsi="Century Gothic"/>
        <w:b/>
        <w:bCs/>
        <w:color w:val="C00000"/>
        <w:sz w:val="18"/>
        <w:szCs w:val="18"/>
      </w:rPr>
      <w:t>https://rsc.li/3t8AKMl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70019360">
    <w:abstractNumId w:val="13"/>
  </w:num>
  <w:num w:numId="2" w16cid:durableId="1847594717">
    <w:abstractNumId w:val="7"/>
  </w:num>
  <w:num w:numId="3" w16cid:durableId="463737510">
    <w:abstractNumId w:val="4"/>
  </w:num>
  <w:num w:numId="4" w16cid:durableId="48186029">
    <w:abstractNumId w:val="5"/>
  </w:num>
  <w:num w:numId="5" w16cid:durableId="1619607425">
    <w:abstractNumId w:val="11"/>
  </w:num>
  <w:num w:numId="6" w16cid:durableId="1904442515">
    <w:abstractNumId w:val="12"/>
  </w:num>
  <w:num w:numId="7" w16cid:durableId="731925567">
    <w:abstractNumId w:val="0"/>
  </w:num>
  <w:num w:numId="8" w16cid:durableId="654987748">
    <w:abstractNumId w:val="3"/>
  </w:num>
  <w:num w:numId="9" w16cid:durableId="552697083">
    <w:abstractNumId w:val="2"/>
  </w:num>
  <w:num w:numId="10" w16cid:durableId="1096630655">
    <w:abstractNumId w:val="1"/>
  </w:num>
  <w:num w:numId="11" w16cid:durableId="1249457947">
    <w:abstractNumId w:val="8"/>
  </w:num>
  <w:num w:numId="12" w16cid:durableId="1283806888">
    <w:abstractNumId w:val="1"/>
    <w:lvlOverride w:ilvl="0">
      <w:startOverride w:val="1"/>
    </w:lvlOverride>
  </w:num>
  <w:num w:numId="13" w16cid:durableId="1755318259">
    <w:abstractNumId w:val="10"/>
  </w:num>
  <w:num w:numId="14" w16cid:durableId="303704574">
    <w:abstractNumId w:val="9"/>
  </w:num>
  <w:num w:numId="15" w16cid:durableId="1215853997">
    <w:abstractNumId w:val="6"/>
  </w:num>
  <w:num w:numId="16" w16cid:durableId="195581712">
    <w:abstractNumId w:val="2"/>
    <w:lvlOverride w:ilvl="0">
      <w:startOverride w:val="1"/>
    </w:lvlOverride>
  </w:num>
  <w:num w:numId="17" w16cid:durableId="1871868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3961"/>
    <w:rsid w:val="000531EC"/>
    <w:rsid w:val="000806ED"/>
    <w:rsid w:val="000866AC"/>
    <w:rsid w:val="00092315"/>
    <w:rsid w:val="00092796"/>
    <w:rsid w:val="000A31FD"/>
    <w:rsid w:val="000A768F"/>
    <w:rsid w:val="000B0FE6"/>
    <w:rsid w:val="000E5F58"/>
    <w:rsid w:val="0017119E"/>
    <w:rsid w:val="00192BDB"/>
    <w:rsid w:val="001A2709"/>
    <w:rsid w:val="001F0BEA"/>
    <w:rsid w:val="00214DB4"/>
    <w:rsid w:val="00226121"/>
    <w:rsid w:val="00231C1C"/>
    <w:rsid w:val="0023536A"/>
    <w:rsid w:val="00253F92"/>
    <w:rsid w:val="002A77FF"/>
    <w:rsid w:val="002C2223"/>
    <w:rsid w:val="002D34BA"/>
    <w:rsid w:val="002E47CA"/>
    <w:rsid w:val="002F63E7"/>
    <w:rsid w:val="003059AB"/>
    <w:rsid w:val="00316926"/>
    <w:rsid w:val="0034728B"/>
    <w:rsid w:val="003716B9"/>
    <w:rsid w:val="003915AD"/>
    <w:rsid w:val="003A6537"/>
    <w:rsid w:val="003F0E3C"/>
    <w:rsid w:val="003F2EF3"/>
    <w:rsid w:val="004148A9"/>
    <w:rsid w:val="0041616A"/>
    <w:rsid w:val="00420391"/>
    <w:rsid w:val="004220B9"/>
    <w:rsid w:val="00432BD6"/>
    <w:rsid w:val="0046389A"/>
    <w:rsid w:val="0048549B"/>
    <w:rsid w:val="00485523"/>
    <w:rsid w:val="004A6C93"/>
    <w:rsid w:val="004B40A4"/>
    <w:rsid w:val="004D2656"/>
    <w:rsid w:val="004D77BD"/>
    <w:rsid w:val="004F33A4"/>
    <w:rsid w:val="004F623C"/>
    <w:rsid w:val="00505B18"/>
    <w:rsid w:val="00516F80"/>
    <w:rsid w:val="00525B8C"/>
    <w:rsid w:val="00544880"/>
    <w:rsid w:val="00560449"/>
    <w:rsid w:val="00570142"/>
    <w:rsid w:val="005820B0"/>
    <w:rsid w:val="00583613"/>
    <w:rsid w:val="005C6D98"/>
    <w:rsid w:val="005F0459"/>
    <w:rsid w:val="005F2BEB"/>
    <w:rsid w:val="00613DBE"/>
    <w:rsid w:val="00615014"/>
    <w:rsid w:val="00674CD3"/>
    <w:rsid w:val="006820BE"/>
    <w:rsid w:val="006869EA"/>
    <w:rsid w:val="006A09F6"/>
    <w:rsid w:val="006C7B0F"/>
    <w:rsid w:val="006D790E"/>
    <w:rsid w:val="007042E5"/>
    <w:rsid w:val="00732AE0"/>
    <w:rsid w:val="00741ECD"/>
    <w:rsid w:val="007424D7"/>
    <w:rsid w:val="00751533"/>
    <w:rsid w:val="00764810"/>
    <w:rsid w:val="007859BF"/>
    <w:rsid w:val="00793A37"/>
    <w:rsid w:val="0080546C"/>
    <w:rsid w:val="008205BB"/>
    <w:rsid w:val="00823187"/>
    <w:rsid w:val="00826D9C"/>
    <w:rsid w:val="00835B9C"/>
    <w:rsid w:val="00841A83"/>
    <w:rsid w:val="00867138"/>
    <w:rsid w:val="0087322B"/>
    <w:rsid w:val="0089187A"/>
    <w:rsid w:val="008A1B0B"/>
    <w:rsid w:val="008B461E"/>
    <w:rsid w:val="008C0669"/>
    <w:rsid w:val="00927535"/>
    <w:rsid w:val="009613BE"/>
    <w:rsid w:val="00973447"/>
    <w:rsid w:val="009766C3"/>
    <w:rsid w:val="00987077"/>
    <w:rsid w:val="00991803"/>
    <w:rsid w:val="009A3093"/>
    <w:rsid w:val="009B2466"/>
    <w:rsid w:val="00A177A3"/>
    <w:rsid w:val="00A34D68"/>
    <w:rsid w:val="00A5348B"/>
    <w:rsid w:val="00A55D0E"/>
    <w:rsid w:val="00A571EB"/>
    <w:rsid w:val="00A5740C"/>
    <w:rsid w:val="00A66348"/>
    <w:rsid w:val="00A725C3"/>
    <w:rsid w:val="00AB53B2"/>
    <w:rsid w:val="00AB639C"/>
    <w:rsid w:val="00AE4558"/>
    <w:rsid w:val="00B07819"/>
    <w:rsid w:val="00B226A7"/>
    <w:rsid w:val="00B32608"/>
    <w:rsid w:val="00B35A36"/>
    <w:rsid w:val="00B371EA"/>
    <w:rsid w:val="00B67A03"/>
    <w:rsid w:val="00B71E66"/>
    <w:rsid w:val="00B721F1"/>
    <w:rsid w:val="00B740A9"/>
    <w:rsid w:val="00B83CD1"/>
    <w:rsid w:val="00BB6063"/>
    <w:rsid w:val="00BC5741"/>
    <w:rsid w:val="00BD1443"/>
    <w:rsid w:val="00C02BED"/>
    <w:rsid w:val="00C1703F"/>
    <w:rsid w:val="00C34AB1"/>
    <w:rsid w:val="00C465CD"/>
    <w:rsid w:val="00C6122F"/>
    <w:rsid w:val="00C636DD"/>
    <w:rsid w:val="00C644EC"/>
    <w:rsid w:val="00CB2B80"/>
    <w:rsid w:val="00CB543E"/>
    <w:rsid w:val="00CD5E3C"/>
    <w:rsid w:val="00CE392C"/>
    <w:rsid w:val="00CE5D35"/>
    <w:rsid w:val="00D0002A"/>
    <w:rsid w:val="00D00CD3"/>
    <w:rsid w:val="00D30766"/>
    <w:rsid w:val="00D444BA"/>
    <w:rsid w:val="00D56C1B"/>
    <w:rsid w:val="00D62A21"/>
    <w:rsid w:val="00D732BB"/>
    <w:rsid w:val="00D7552F"/>
    <w:rsid w:val="00D802CD"/>
    <w:rsid w:val="00D87159"/>
    <w:rsid w:val="00D92EA9"/>
    <w:rsid w:val="00DA6512"/>
    <w:rsid w:val="00DC3CBA"/>
    <w:rsid w:val="00DE3317"/>
    <w:rsid w:val="00DE4519"/>
    <w:rsid w:val="00DF1C5C"/>
    <w:rsid w:val="00E15790"/>
    <w:rsid w:val="00E174ED"/>
    <w:rsid w:val="00E23EAC"/>
    <w:rsid w:val="00E350AA"/>
    <w:rsid w:val="00E408AC"/>
    <w:rsid w:val="00E47CCE"/>
    <w:rsid w:val="00EC09B2"/>
    <w:rsid w:val="00ED2B5A"/>
    <w:rsid w:val="00EF3FDA"/>
    <w:rsid w:val="00EF6A5D"/>
    <w:rsid w:val="00F10669"/>
    <w:rsid w:val="00F55FE1"/>
    <w:rsid w:val="00F709FB"/>
    <w:rsid w:val="00F71CF7"/>
    <w:rsid w:val="00F94905"/>
    <w:rsid w:val="00FC54F8"/>
    <w:rsid w:val="00FD124C"/>
    <w:rsid w:val="00FD6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1F0BEA"/>
    <w:rPr>
      <w:sz w:val="16"/>
      <w:szCs w:val="16"/>
    </w:rPr>
  </w:style>
  <w:style w:type="paragraph" w:styleId="CommentText0">
    <w:name w:val="annotation text"/>
    <w:basedOn w:val="Normal"/>
    <w:link w:val="CommentTextChar"/>
    <w:uiPriority w:val="99"/>
    <w:semiHidden/>
    <w:unhideWhenUsed/>
    <w:rsid w:val="001F0BEA"/>
    <w:pPr>
      <w:spacing w:line="240" w:lineRule="auto"/>
    </w:pPr>
  </w:style>
  <w:style w:type="character" w:customStyle="1" w:styleId="CommentTextChar">
    <w:name w:val="Comment Text Char"/>
    <w:basedOn w:val="DefaultParagraphFont"/>
    <w:link w:val="CommentText0"/>
    <w:uiPriority w:val="99"/>
    <w:semiHidden/>
    <w:rsid w:val="001F0BEA"/>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1F0BEA"/>
    <w:rPr>
      <w:b/>
      <w:bCs/>
    </w:rPr>
  </w:style>
  <w:style w:type="character" w:customStyle="1" w:styleId="CommentSubjectChar">
    <w:name w:val="Comment Subject Char"/>
    <w:basedOn w:val="CommentTextChar"/>
    <w:link w:val="CommentSubject"/>
    <w:uiPriority w:val="99"/>
    <w:semiHidden/>
    <w:rsid w:val="001F0BEA"/>
    <w:rPr>
      <w:rFonts w:ascii="Arial" w:hAnsi="Arial" w:cs="Arial"/>
      <w:b/>
      <w:bCs/>
      <w:sz w:val="20"/>
      <w:szCs w:val="20"/>
      <w:lang w:eastAsia="zh-CN"/>
    </w:rPr>
  </w:style>
  <w:style w:type="paragraph" w:styleId="Revision">
    <w:name w:val="Revision"/>
    <w:hidden/>
    <w:uiPriority w:val="99"/>
    <w:semiHidden/>
    <w:rsid w:val="006869EA"/>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674C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rsc.org/feature/understanding-comes-with-writing/3010366.articl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sc.li/3t8AKMl"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politics of energy – structure strip teacher notes</vt:lpstr>
    </vt:vector>
  </TitlesOfParts>
  <Manager/>
  <Company>Royal Society Of Chemistry</Company>
  <LinksUpToDate>false</LinksUpToDate>
  <CharactersWithSpaces>4418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politics of energy – structure strip teacher notes</dc:title>
  <dc:subject/>
  <dc:creator>Royal Society Of Chemistry</dc:creator>
  <cp:keywords>fossil fuels, crude oil, natural gas, oil, green energy, greenhouse gas, climate change, alkanes, net zero, emissions</cp:keywords>
  <dc:description>From Energy boost, Education in Chemistry, https://rsc.li/3t8AKMl</dc:description>
  <cp:lastModifiedBy>Georgia Murphy</cp:lastModifiedBy>
  <cp:revision>3</cp:revision>
  <dcterms:created xsi:type="dcterms:W3CDTF">2022-06-01T11:33:00Z</dcterms:created>
  <dcterms:modified xsi:type="dcterms:W3CDTF">2022-06-01T12:51:00Z</dcterms:modified>
  <cp:category/>
</cp:coreProperties>
</file>