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6D270B9A" w:rsidR="00A5740C" w:rsidRDefault="007F405E" w:rsidP="000E4D3D">
      <w:pPr>
        <w:pStyle w:val="RSCH1"/>
      </w:pPr>
      <w:r w:rsidRPr="007F405E">
        <w:t>Flash paper: the production and combustion of nitrocellulose</w:t>
      </w:r>
    </w:p>
    <w:p w14:paraId="6C6ED488" w14:textId="7C7EACCF" w:rsidR="007F405E" w:rsidRPr="00EA6CA4" w:rsidRDefault="007F405E" w:rsidP="007F405E">
      <w:pPr>
        <w:pStyle w:val="RSCBasictext"/>
      </w:pPr>
      <w:r w:rsidRPr="000E442C">
        <w:rPr>
          <w:lang w:eastAsia="en-GB"/>
        </w:rPr>
        <w:t>Get your students focused in</w:t>
      </w:r>
      <w:r>
        <w:rPr>
          <w:lang w:eastAsia="en-GB"/>
        </w:rPr>
        <w:t xml:space="preserve"> </w:t>
      </w:r>
      <w:r w:rsidRPr="000E442C">
        <w:rPr>
          <w:lang w:eastAsia="en-GB"/>
        </w:rPr>
        <w:t>a flash with this impressive nitrocellulose combustion reaction</w:t>
      </w:r>
      <w:r>
        <w:rPr>
          <w:lang w:eastAsia="en-GB"/>
        </w:rPr>
        <w:t xml:space="preserve"> </w:t>
      </w:r>
      <w:r w:rsidRPr="00F854F3">
        <w:t xml:space="preserve">which can be viewed at: </w:t>
      </w:r>
      <w:hyperlink r:id="rId8" w:history="1">
        <w:r w:rsidRPr="003B3303">
          <w:rPr>
            <w:rStyle w:val="Hyperlink"/>
          </w:rPr>
          <w:t>https://edu.rsc.org/exhibition-chemistry/the-production-and-combustion-of-nitrocellulose/4015917.article</w:t>
        </w:r>
      </w:hyperlink>
      <w:r>
        <w:t xml:space="preserve"> </w:t>
      </w:r>
    </w:p>
    <w:p w14:paraId="791953DF" w14:textId="536DE5D8" w:rsidR="00A5740C" w:rsidRDefault="00722220" w:rsidP="000736CE">
      <w:pPr>
        <w:pStyle w:val="RSCH2"/>
      </w:pPr>
      <w:r>
        <w:t>Learning objectives</w:t>
      </w:r>
    </w:p>
    <w:p w14:paraId="1178571C" w14:textId="77777777" w:rsidR="007F405E" w:rsidRDefault="007F405E" w:rsidP="007F405E">
      <w:pPr>
        <w:pStyle w:val="RSCBulletedlist"/>
        <w:rPr>
          <w:lang w:eastAsia="en-GB"/>
        </w:rPr>
      </w:pPr>
      <w:r>
        <w:rPr>
          <w:lang w:eastAsia="en-GB"/>
        </w:rPr>
        <w:t>20 cm</w:t>
      </w:r>
      <w:r w:rsidRPr="007F405E">
        <w:rPr>
          <w:vertAlign w:val="superscript"/>
          <w:lang w:eastAsia="en-GB"/>
        </w:rPr>
        <w:t>3</w:t>
      </w:r>
      <w:r>
        <w:rPr>
          <w:lang w:eastAsia="en-GB"/>
        </w:rPr>
        <w:t xml:space="preserve"> concentrated </w:t>
      </w:r>
      <w:proofErr w:type="gramStart"/>
      <w:r>
        <w:rPr>
          <w:lang w:eastAsia="en-GB"/>
        </w:rPr>
        <w:t>sulfuric(</w:t>
      </w:r>
      <w:proofErr w:type="gramEnd"/>
      <w:r>
        <w:rPr>
          <w:lang w:eastAsia="en-GB"/>
        </w:rPr>
        <w:t>VI) acid (corrosive)</w:t>
      </w:r>
    </w:p>
    <w:p w14:paraId="7149E274" w14:textId="7D00598C" w:rsidR="007F405E" w:rsidRDefault="007F405E" w:rsidP="007F405E">
      <w:pPr>
        <w:pStyle w:val="RSCBulletedlist"/>
        <w:rPr>
          <w:lang w:eastAsia="en-GB"/>
        </w:rPr>
      </w:pPr>
      <w:r>
        <w:rPr>
          <w:lang w:eastAsia="en-GB"/>
        </w:rPr>
        <w:t>20 cm</w:t>
      </w:r>
      <w:r w:rsidRPr="007F405E">
        <w:rPr>
          <w:vertAlign w:val="superscript"/>
          <w:lang w:eastAsia="en-GB"/>
        </w:rPr>
        <w:t>3</w:t>
      </w:r>
      <w:r>
        <w:rPr>
          <w:lang w:eastAsia="en-GB"/>
        </w:rPr>
        <w:t xml:space="preserve"> concentrated nitric(V) acid (corrosive, oxidising)</w:t>
      </w:r>
    </w:p>
    <w:p w14:paraId="3A817719" w14:textId="6A34FB07" w:rsidR="007F405E" w:rsidRDefault="007F405E" w:rsidP="007F405E">
      <w:pPr>
        <w:pStyle w:val="RSCBulletedlist"/>
        <w:rPr>
          <w:lang w:eastAsia="en-GB"/>
        </w:rPr>
      </w:pPr>
      <w:proofErr w:type="spellStart"/>
      <w:r>
        <w:rPr>
          <w:lang w:eastAsia="en-GB"/>
        </w:rPr>
        <w:t>Approx</w:t>
      </w:r>
      <w:proofErr w:type="spellEnd"/>
      <w:r>
        <w:rPr>
          <w:lang w:eastAsia="en-GB"/>
        </w:rPr>
        <w:t xml:space="preserve"> 55 g sodium carbonate (irritant)</w:t>
      </w:r>
    </w:p>
    <w:p w14:paraId="13C2D6C5" w14:textId="481F80A6" w:rsidR="007F405E" w:rsidRDefault="007F405E" w:rsidP="007F405E">
      <w:pPr>
        <w:pStyle w:val="RSCBulletedlist"/>
        <w:rPr>
          <w:lang w:eastAsia="en-GB"/>
        </w:rPr>
      </w:pPr>
      <w:r>
        <w:rPr>
          <w:lang w:eastAsia="en-GB"/>
        </w:rPr>
        <w:t>Piece of filter paper (</w:t>
      </w:r>
      <w:proofErr w:type="spellStart"/>
      <w:r>
        <w:rPr>
          <w:lang w:eastAsia="en-GB"/>
        </w:rPr>
        <w:t>approx</w:t>
      </w:r>
      <w:proofErr w:type="spellEnd"/>
      <w:r>
        <w:rPr>
          <w:lang w:eastAsia="en-GB"/>
        </w:rPr>
        <w:t xml:space="preserve"> 1 g)</w:t>
      </w:r>
    </w:p>
    <w:p w14:paraId="34B6117E" w14:textId="73F4AB3B" w:rsidR="007F405E" w:rsidRDefault="007F405E" w:rsidP="007F405E">
      <w:pPr>
        <w:pStyle w:val="RSCBulletedlist"/>
        <w:rPr>
          <w:lang w:eastAsia="en-GB"/>
        </w:rPr>
      </w:pPr>
      <w:proofErr w:type="spellStart"/>
      <w:r>
        <w:rPr>
          <w:lang w:eastAsia="en-GB"/>
        </w:rPr>
        <w:t>Gratnell</w:t>
      </w:r>
      <w:proofErr w:type="spellEnd"/>
      <w:r>
        <w:rPr>
          <w:lang w:eastAsia="en-GB"/>
        </w:rPr>
        <w:t xml:space="preserve"> tray (or similar sized tray of at least 5 cm depth)</w:t>
      </w:r>
    </w:p>
    <w:p w14:paraId="47C9E504" w14:textId="70FEAC7A" w:rsidR="007F405E" w:rsidRDefault="007F405E" w:rsidP="007F405E">
      <w:pPr>
        <w:pStyle w:val="RSCBulletedlist"/>
        <w:rPr>
          <w:lang w:eastAsia="en-GB"/>
        </w:rPr>
      </w:pPr>
      <w:r>
        <w:rPr>
          <w:lang w:eastAsia="en-GB"/>
        </w:rPr>
        <w:t>Glass stirring rod</w:t>
      </w:r>
    </w:p>
    <w:p w14:paraId="2763A6EB" w14:textId="2B78367E" w:rsidR="007F405E" w:rsidRDefault="007F405E" w:rsidP="007F405E">
      <w:pPr>
        <w:pStyle w:val="RSCBulletedlist"/>
        <w:rPr>
          <w:lang w:eastAsia="en-GB"/>
        </w:rPr>
      </w:pPr>
      <w:r>
        <w:rPr>
          <w:lang w:eastAsia="en-GB"/>
        </w:rPr>
        <w:t>Forceps</w:t>
      </w:r>
    </w:p>
    <w:p w14:paraId="35073E64" w14:textId="56D02C27" w:rsidR="007F405E" w:rsidRDefault="007F405E" w:rsidP="007F405E">
      <w:pPr>
        <w:pStyle w:val="RSCBulletedlist"/>
        <w:rPr>
          <w:lang w:eastAsia="en-GB"/>
        </w:rPr>
      </w:pPr>
      <w:r>
        <w:rPr>
          <w:lang w:eastAsia="en-GB"/>
        </w:rPr>
        <w:t>Polypropylene microwavable food dish, or ice cream tub, preferably circular with max 25 cm diameter* (look for recycling symbols PP or 05)</w:t>
      </w:r>
    </w:p>
    <w:p w14:paraId="6B8F4405" w14:textId="71F164EE" w:rsidR="007F405E" w:rsidRDefault="007F405E" w:rsidP="007F405E">
      <w:pPr>
        <w:pStyle w:val="RSCBulletedlist"/>
        <w:numPr>
          <w:ilvl w:val="0"/>
          <w:numId w:val="0"/>
        </w:numPr>
        <w:rPr>
          <w:lang w:eastAsia="en-GB"/>
        </w:rPr>
      </w:pPr>
      <w:r>
        <w:rPr>
          <w:lang w:eastAsia="en-GB"/>
        </w:rPr>
        <w:t xml:space="preserve">* Ideal dishes for this activity will be more than 1 cm deep and have handles on the sides for a good grip. If the dish is any larger, you </w:t>
      </w:r>
      <w:proofErr w:type="gramStart"/>
      <w:r>
        <w:rPr>
          <w:lang w:eastAsia="en-GB"/>
        </w:rPr>
        <w:t>won't</w:t>
      </w:r>
      <w:proofErr w:type="gramEnd"/>
      <w:r>
        <w:rPr>
          <w:lang w:eastAsia="en-GB"/>
        </w:rPr>
        <w:t xml:space="preserve"> be able to cover the base of the tub/tray with the nitrating mixture.</w:t>
      </w:r>
    </w:p>
    <w:p w14:paraId="5BB39150" w14:textId="76E9F551" w:rsidR="00A5740C" w:rsidRPr="00D721EF" w:rsidRDefault="007F405E" w:rsidP="00603108">
      <w:pPr>
        <w:pStyle w:val="RSCH2"/>
      </w:pPr>
      <w:r>
        <w:t>Preparation</w:t>
      </w:r>
    </w:p>
    <w:p w14:paraId="0C8163B5" w14:textId="77777777" w:rsidR="007F405E" w:rsidRPr="00396656" w:rsidRDefault="007F405E" w:rsidP="007F405E">
      <w:pPr>
        <w:pStyle w:val="NormalWeb"/>
        <w:spacing w:after="0" w:line="234" w:lineRule="atLeast"/>
        <w:ind w:right="150"/>
        <w:jc w:val="left"/>
        <w:rPr>
          <w:rFonts w:ascii="Century Gothic" w:eastAsiaTheme="minorHAnsi" w:hAnsi="Century Gothic" w:cs="Arial"/>
          <w:sz w:val="22"/>
          <w:szCs w:val="22"/>
          <w:lang w:eastAsia="zh-CN"/>
        </w:rPr>
      </w:pPr>
      <w:r w:rsidRPr="00396656">
        <w:rPr>
          <w:rFonts w:ascii="Century Gothic" w:eastAsiaTheme="minorHAnsi" w:hAnsi="Century Gothic" w:cs="Arial"/>
          <w:sz w:val="22"/>
          <w:szCs w:val="22"/>
          <w:lang w:eastAsia="zh-CN"/>
        </w:rPr>
        <w:t>Wear splash-proof goggles (or a face shield) and chemical-resistant gloves when creating and using the nitration mixture. Work in a well-ventilated laboratory and avoid inhaling any vapours.</w:t>
      </w:r>
    </w:p>
    <w:p w14:paraId="5ADAC2A9" w14:textId="77777777" w:rsidR="007F405E" w:rsidRDefault="007F405E" w:rsidP="007F405E">
      <w:pPr>
        <w:pStyle w:val="NormalWeb"/>
        <w:spacing w:after="0" w:line="234" w:lineRule="atLeast"/>
        <w:ind w:right="150"/>
        <w:jc w:val="left"/>
        <w:rPr>
          <w:rFonts w:ascii="Century Gothic" w:eastAsiaTheme="minorHAnsi" w:hAnsi="Century Gothic" w:cs="Arial"/>
          <w:sz w:val="22"/>
          <w:szCs w:val="22"/>
          <w:lang w:eastAsia="zh-CN"/>
        </w:rPr>
      </w:pPr>
      <w:r w:rsidRPr="00396656">
        <w:rPr>
          <w:rFonts w:ascii="Century Gothic" w:eastAsiaTheme="minorHAnsi" w:hAnsi="Century Gothic" w:cs="Arial"/>
          <w:sz w:val="22"/>
          <w:szCs w:val="22"/>
          <w:lang w:eastAsia="zh-CN"/>
        </w:rPr>
        <w:t xml:space="preserve">Add </w:t>
      </w:r>
      <w:proofErr w:type="spellStart"/>
      <w:r w:rsidRPr="00396656">
        <w:rPr>
          <w:rFonts w:ascii="Century Gothic" w:eastAsiaTheme="minorHAnsi" w:hAnsi="Century Gothic" w:cs="Arial"/>
          <w:sz w:val="22"/>
          <w:szCs w:val="22"/>
          <w:lang w:eastAsia="zh-CN"/>
        </w:rPr>
        <w:t>approx</w:t>
      </w:r>
      <w:proofErr w:type="spellEnd"/>
      <w:r w:rsidRPr="00396656">
        <w:rPr>
          <w:rFonts w:ascii="Century Gothic" w:eastAsiaTheme="minorHAnsi" w:hAnsi="Century Gothic" w:cs="Arial"/>
          <w:sz w:val="22"/>
          <w:szCs w:val="22"/>
          <w:lang w:eastAsia="zh-CN"/>
        </w:rPr>
        <w:t xml:space="preserve"> 55</w:t>
      </w:r>
      <w:r>
        <w:rPr>
          <w:rFonts w:ascii="Century Gothic" w:eastAsiaTheme="minorHAnsi" w:hAnsi="Century Gothic" w:cs="Arial"/>
          <w:sz w:val="22"/>
          <w:szCs w:val="22"/>
          <w:lang w:eastAsia="zh-CN"/>
        </w:rPr>
        <w:t xml:space="preserve"> </w:t>
      </w:r>
      <w:r w:rsidRPr="00396656">
        <w:rPr>
          <w:rFonts w:ascii="Century Gothic" w:eastAsiaTheme="minorHAnsi" w:hAnsi="Century Gothic" w:cs="Arial"/>
          <w:sz w:val="22"/>
          <w:szCs w:val="22"/>
          <w:lang w:eastAsia="zh-CN"/>
        </w:rPr>
        <w:t xml:space="preserve">g of sodium carbonate to a </w:t>
      </w:r>
      <w:proofErr w:type="spellStart"/>
      <w:r w:rsidRPr="00396656">
        <w:rPr>
          <w:rFonts w:ascii="Century Gothic" w:eastAsiaTheme="minorHAnsi" w:hAnsi="Century Gothic" w:cs="Arial"/>
          <w:sz w:val="22"/>
          <w:szCs w:val="22"/>
          <w:lang w:eastAsia="zh-CN"/>
        </w:rPr>
        <w:t>Gratnell</w:t>
      </w:r>
      <w:proofErr w:type="spellEnd"/>
      <w:r w:rsidRPr="00396656">
        <w:rPr>
          <w:rFonts w:ascii="Century Gothic" w:eastAsiaTheme="minorHAnsi" w:hAnsi="Century Gothic" w:cs="Arial"/>
          <w:sz w:val="22"/>
          <w:szCs w:val="22"/>
          <w:lang w:eastAsia="zh-CN"/>
        </w:rPr>
        <w:t xml:space="preserve"> </w:t>
      </w:r>
      <w:proofErr w:type="gramStart"/>
      <w:r w:rsidRPr="00396656">
        <w:rPr>
          <w:rFonts w:ascii="Century Gothic" w:eastAsiaTheme="minorHAnsi" w:hAnsi="Century Gothic" w:cs="Arial"/>
          <w:sz w:val="22"/>
          <w:szCs w:val="22"/>
          <w:lang w:eastAsia="zh-CN"/>
        </w:rPr>
        <w:t>tray, and</w:t>
      </w:r>
      <w:proofErr w:type="gramEnd"/>
      <w:r w:rsidRPr="00396656">
        <w:rPr>
          <w:rFonts w:ascii="Century Gothic" w:eastAsiaTheme="minorHAnsi" w:hAnsi="Century Gothic" w:cs="Arial"/>
          <w:sz w:val="22"/>
          <w:szCs w:val="22"/>
          <w:lang w:eastAsia="zh-CN"/>
        </w:rPr>
        <w:t xml:space="preserve"> fill with water to </w:t>
      </w:r>
      <w:proofErr w:type="spellStart"/>
      <w:r w:rsidRPr="00396656">
        <w:rPr>
          <w:rFonts w:ascii="Century Gothic" w:eastAsiaTheme="minorHAnsi" w:hAnsi="Century Gothic" w:cs="Arial"/>
          <w:sz w:val="22"/>
          <w:szCs w:val="22"/>
          <w:lang w:eastAsia="zh-CN"/>
        </w:rPr>
        <w:t>approx</w:t>
      </w:r>
      <w:proofErr w:type="spellEnd"/>
      <w:r w:rsidRPr="00396656">
        <w:rPr>
          <w:rFonts w:ascii="Century Gothic" w:eastAsiaTheme="minorHAnsi" w:hAnsi="Century Gothic" w:cs="Arial"/>
          <w:sz w:val="22"/>
          <w:szCs w:val="22"/>
          <w:lang w:eastAsia="zh-CN"/>
        </w:rPr>
        <w:t xml:space="preserve"> 3 cm to act as a heat sink for the reaction, and to neutralise unreacted acid before disposal. Float the disposable dish in the water and add the acids, taking care when you do.</w:t>
      </w:r>
    </w:p>
    <w:p w14:paraId="156AB82C" w14:textId="77777777" w:rsidR="007F405E" w:rsidRDefault="007F405E" w:rsidP="007F405E">
      <w:pPr>
        <w:pStyle w:val="NormalWeb"/>
        <w:spacing w:after="0" w:line="234" w:lineRule="atLeast"/>
        <w:ind w:right="150"/>
        <w:jc w:val="left"/>
        <w:rPr>
          <w:rFonts w:ascii="Century Gothic" w:eastAsiaTheme="minorHAnsi" w:hAnsi="Century Gothic" w:cs="Arial"/>
          <w:sz w:val="22"/>
          <w:szCs w:val="22"/>
          <w:lang w:eastAsia="zh-CN"/>
        </w:rPr>
      </w:pPr>
      <w:r>
        <w:rPr>
          <w:rFonts w:ascii="Century Gothic" w:eastAsiaTheme="minorHAnsi" w:hAnsi="Century Gothic" w:cs="Arial"/>
          <w:noProof/>
          <w:sz w:val="22"/>
          <w:szCs w:val="22"/>
          <w:lang w:eastAsia="zh-CN"/>
        </w:rPr>
        <w:drawing>
          <wp:inline distT="0" distB="0" distL="0" distR="0" wp14:anchorId="23BC2D99" wp14:editId="67899BD9">
            <wp:extent cx="3772800" cy="158040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2800" cy="1580400"/>
                    </a:xfrm>
                    <a:prstGeom prst="rect">
                      <a:avLst/>
                    </a:prstGeom>
                  </pic:spPr>
                </pic:pic>
              </a:graphicData>
            </a:graphic>
          </wp:inline>
        </w:drawing>
      </w:r>
    </w:p>
    <w:p w14:paraId="3A281D3E" w14:textId="77777777" w:rsidR="007F405E" w:rsidRPr="00396656" w:rsidRDefault="007F405E" w:rsidP="007F405E">
      <w:pPr>
        <w:pStyle w:val="NormalWeb"/>
        <w:spacing w:after="0" w:line="234" w:lineRule="atLeast"/>
        <w:ind w:right="150"/>
        <w:jc w:val="left"/>
        <w:rPr>
          <w:rFonts w:ascii="Century Gothic" w:eastAsiaTheme="minorHAnsi" w:hAnsi="Century Gothic" w:cs="Arial"/>
          <w:sz w:val="22"/>
          <w:szCs w:val="22"/>
          <w:lang w:eastAsia="zh-CN"/>
        </w:rPr>
      </w:pPr>
      <w:r w:rsidRPr="00396656">
        <w:rPr>
          <w:rFonts w:ascii="Century Gothic" w:eastAsiaTheme="minorHAnsi" w:hAnsi="Century Gothic" w:cs="Arial"/>
          <w:sz w:val="22"/>
          <w:szCs w:val="22"/>
          <w:lang w:eastAsia="zh-CN"/>
        </w:rPr>
        <w:lastRenderedPageBreak/>
        <w:t xml:space="preserve">Add the filter paper and use the glass stirring rod to agitate and ensure there is good coverage of the nitrating mixture (the mixture will average less than 1 mm in depth in a dish this size). Leave the filter paper for 15 minutes before removing with forceps and dropping straight into the surrounding sodium carbonate solution. Use the forceps to agitate the paper until all fizzing has stopped. Press the neutralised paper between two other sheets of kitchen or lab roll to remove excess moisture and leave to dry thoroughly. </w:t>
      </w:r>
    </w:p>
    <w:p w14:paraId="4077873B" w14:textId="46BC942B" w:rsidR="003C5CB6" w:rsidRDefault="003C5CB6" w:rsidP="003C5CB6">
      <w:pPr>
        <w:pStyle w:val="NormalWeb"/>
        <w:spacing w:before="0" w:beforeAutospacing="0" w:after="0" w:afterAutospacing="0" w:line="234" w:lineRule="atLeast"/>
        <w:ind w:right="147"/>
        <w:jc w:val="left"/>
        <w:rPr>
          <w:rFonts w:ascii="Century Gothic" w:eastAsiaTheme="minorHAnsi" w:hAnsi="Century Gothic" w:cs="Arial"/>
          <w:sz w:val="22"/>
          <w:szCs w:val="22"/>
          <w:lang w:eastAsia="zh-CN"/>
        </w:rPr>
      </w:pPr>
      <w:r w:rsidRPr="00C331BD">
        <w:rPr>
          <w:b/>
          <w:noProof/>
          <w:lang w:eastAsia="en-US"/>
        </w:rPr>
        <mc:AlternateContent>
          <mc:Choice Requires="wps">
            <w:drawing>
              <wp:anchor distT="45720" distB="45720" distL="114300" distR="114300" simplePos="0" relativeHeight="251659264" behindDoc="0" locked="0" layoutInCell="1" allowOverlap="1" wp14:anchorId="188DED54" wp14:editId="4B8D105C">
                <wp:simplePos x="0" y="0"/>
                <wp:positionH relativeFrom="margin">
                  <wp:align>left</wp:align>
                </wp:positionH>
                <wp:positionV relativeFrom="page">
                  <wp:posOffset>3292310</wp:posOffset>
                </wp:positionV>
                <wp:extent cx="5590800" cy="2804400"/>
                <wp:effectExtent l="0" t="0" r="101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800" cy="2804400"/>
                        </a:xfrm>
                        <a:prstGeom prst="rect">
                          <a:avLst/>
                        </a:prstGeom>
                        <a:solidFill>
                          <a:srgbClr val="FFFFFF"/>
                        </a:solidFill>
                        <a:ln w="9525">
                          <a:solidFill>
                            <a:srgbClr val="006F62"/>
                          </a:solidFill>
                          <a:miter lim="800000"/>
                          <a:headEnd/>
                          <a:tailEnd/>
                        </a:ln>
                      </wps:spPr>
                      <wps:txbx>
                        <w:txbxContent>
                          <w:p w14:paraId="5960F3EB" w14:textId="77777777" w:rsidR="003C5CB6" w:rsidRPr="0036415C" w:rsidRDefault="003C5CB6" w:rsidP="003C5CB6">
                            <w:pPr>
                              <w:pStyle w:val="RSCH1"/>
                              <w:rPr>
                                <w:sz w:val="28"/>
                                <w:szCs w:val="28"/>
                              </w:rPr>
                            </w:pPr>
                            <w:r w:rsidRPr="00FD47F2">
                              <w:rPr>
                                <w:sz w:val="28"/>
                                <w:szCs w:val="28"/>
                              </w:rPr>
                              <w:t>Safety and disposal notes</w:t>
                            </w:r>
                          </w:p>
                          <w:p w14:paraId="777A689B" w14:textId="77777777" w:rsidR="003C5CB6" w:rsidRDefault="003C5CB6" w:rsidP="003C5CB6">
                            <w:pPr>
                              <w:pStyle w:val="RSCBulletedlist"/>
                            </w:pPr>
                            <w:r>
                              <w:t>Ensure a</w:t>
                            </w:r>
                            <w:r w:rsidRPr="00396656">
                              <w:t>n experienced chemistry teacher prepare</w:t>
                            </w:r>
                            <w:r>
                              <w:t>s</w:t>
                            </w:r>
                            <w:r w:rsidRPr="00396656">
                              <w:t xml:space="preserve"> and use</w:t>
                            </w:r>
                            <w:r>
                              <w:t>s</w:t>
                            </w:r>
                            <w:r w:rsidRPr="00396656">
                              <w:t xml:space="preserve"> the nitrating mixture. </w:t>
                            </w:r>
                          </w:p>
                          <w:p w14:paraId="2E0C08F5" w14:textId="77777777" w:rsidR="003C5CB6" w:rsidRDefault="003C5CB6" w:rsidP="003C5CB6">
                            <w:pPr>
                              <w:pStyle w:val="RSCBulletedlist"/>
                            </w:pPr>
                            <w:proofErr w:type="gramStart"/>
                            <w:r w:rsidRPr="00396656">
                              <w:t>It’s</w:t>
                            </w:r>
                            <w:proofErr w:type="gramEnd"/>
                            <w:r w:rsidRPr="00396656">
                              <w:t xml:space="preserve"> unlikely that this demonstration is covered in model risk assessments. </w:t>
                            </w:r>
                          </w:p>
                          <w:p w14:paraId="1EC06238" w14:textId="77777777" w:rsidR="003C5CB6" w:rsidRDefault="003C5CB6" w:rsidP="003C5CB6">
                            <w:pPr>
                              <w:pStyle w:val="RSCBulletedlist"/>
                            </w:pPr>
                            <w:r w:rsidRPr="00396656">
                              <w:t xml:space="preserve">Members can obtain a special risk assessment from CLEAPSS. </w:t>
                            </w:r>
                          </w:p>
                          <w:p w14:paraId="5584AF32" w14:textId="77777777" w:rsidR="003C5CB6" w:rsidRDefault="003C5CB6" w:rsidP="003C5CB6">
                            <w:pPr>
                              <w:pStyle w:val="RSCBulletedlist"/>
                            </w:pPr>
                            <w:r w:rsidRPr="00396656">
                              <w:t xml:space="preserve">Do not exceed the quantities outlined above or deviate from the method. </w:t>
                            </w:r>
                          </w:p>
                          <w:p w14:paraId="5E41FB7C" w14:textId="77777777" w:rsidR="003C5CB6" w:rsidRDefault="003C5CB6" w:rsidP="003C5CB6">
                            <w:pPr>
                              <w:pStyle w:val="RSCBulletedlist"/>
                            </w:pPr>
                            <w:r w:rsidRPr="00396656">
                              <w:t>Avoid using fuming nitric acid to prepare nitrocellulose because this could produce more than 12.6% nitrogen</w:t>
                            </w:r>
                            <w:r>
                              <w:t xml:space="preserve">, which </w:t>
                            </w:r>
                            <w:r w:rsidRPr="00396656">
                              <w:t xml:space="preserve">UK schools would need an explosives certificate for. </w:t>
                            </w:r>
                          </w:p>
                          <w:p w14:paraId="2459BA96" w14:textId="77777777" w:rsidR="003C5CB6" w:rsidRDefault="003C5CB6" w:rsidP="003C5CB6">
                            <w:pPr>
                              <w:pStyle w:val="RSCBulletedlist"/>
                            </w:pPr>
                            <w:proofErr w:type="gramStart"/>
                            <w:r>
                              <w:t>Don’t</w:t>
                            </w:r>
                            <w:proofErr w:type="gramEnd"/>
                            <w:r>
                              <w:t xml:space="preserve"> store flash paper; it should be</w:t>
                            </w:r>
                            <w:r w:rsidRPr="00396656">
                              <w:t xml:space="preserve"> create</w:t>
                            </w:r>
                            <w:r>
                              <w:t>d</w:t>
                            </w:r>
                            <w:r w:rsidRPr="00396656">
                              <w:t xml:space="preserve"> fresh. The paper decomposes over time and other staff </w:t>
                            </w:r>
                            <w:r>
                              <w:t xml:space="preserve">members could mistake this </w:t>
                            </w:r>
                            <w:r w:rsidRPr="00396656">
                              <w:t>for ordinary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ED54" id="_x0000_t202" coordsize="21600,21600" o:spt="202" path="m,l,21600r21600,l21600,xe">
                <v:stroke joinstyle="miter"/>
                <v:path gradientshapeok="t" o:connecttype="rect"/>
              </v:shapetype>
              <v:shape id="Text Box 2" o:spid="_x0000_s1026" type="#_x0000_t202" style="position:absolute;margin-left:0;margin-top:259.25pt;width:440.2pt;height:22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" strokecolor="#006f62">
                <v:textbox>
                  <w:txbxContent>
                    <w:p w14:paraId="5960F3EB" w14:textId="77777777" w:rsidR="003C5CB6" w:rsidRPr="0036415C" w:rsidRDefault="003C5CB6" w:rsidP="003C5CB6">
                      <w:pPr>
                        <w:pStyle w:val="RSCH1"/>
                        <w:rPr>
                          <w:sz w:val="28"/>
                          <w:szCs w:val="28"/>
                        </w:rPr>
                      </w:pPr>
                      <w:r w:rsidRPr="00FD47F2">
                        <w:rPr>
                          <w:sz w:val="28"/>
                          <w:szCs w:val="28"/>
                        </w:rPr>
                        <w:t>Safety and disposal notes</w:t>
                      </w:r>
                    </w:p>
                    <w:p w14:paraId="777A689B" w14:textId="77777777" w:rsidR="003C5CB6" w:rsidRDefault="003C5CB6" w:rsidP="003C5CB6">
                      <w:pPr>
                        <w:pStyle w:val="RSCBulletedlist"/>
                      </w:pPr>
                      <w:r>
                        <w:t>Ensure a</w:t>
                      </w:r>
                      <w:r w:rsidRPr="00396656">
                        <w:t>n experienced chemistry teacher prepare</w:t>
                      </w:r>
                      <w:r>
                        <w:t>s</w:t>
                      </w:r>
                      <w:r w:rsidRPr="00396656">
                        <w:t xml:space="preserve"> and use</w:t>
                      </w:r>
                      <w:r>
                        <w:t>s</w:t>
                      </w:r>
                      <w:r w:rsidRPr="00396656">
                        <w:t xml:space="preserve"> the nitrating mixture. </w:t>
                      </w:r>
                    </w:p>
                    <w:p w14:paraId="2E0C08F5" w14:textId="77777777" w:rsidR="003C5CB6" w:rsidRDefault="003C5CB6" w:rsidP="003C5CB6">
                      <w:pPr>
                        <w:pStyle w:val="RSCBulletedlist"/>
                      </w:pPr>
                      <w:proofErr w:type="gramStart"/>
                      <w:r w:rsidRPr="00396656">
                        <w:t>It’s</w:t>
                      </w:r>
                      <w:proofErr w:type="gramEnd"/>
                      <w:r w:rsidRPr="00396656">
                        <w:t xml:space="preserve"> unlikely that this demonstration is covered in model risk assessments. </w:t>
                      </w:r>
                    </w:p>
                    <w:p w14:paraId="1EC06238" w14:textId="77777777" w:rsidR="003C5CB6" w:rsidRDefault="003C5CB6" w:rsidP="003C5CB6">
                      <w:pPr>
                        <w:pStyle w:val="RSCBulletedlist"/>
                      </w:pPr>
                      <w:r w:rsidRPr="00396656">
                        <w:t xml:space="preserve">Members can obtain a special risk assessment from CLEAPSS. </w:t>
                      </w:r>
                    </w:p>
                    <w:p w14:paraId="5584AF32" w14:textId="77777777" w:rsidR="003C5CB6" w:rsidRDefault="003C5CB6" w:rsidP="003C5CB6">
                      <w:pPr>
                        <w:pStyle w:val="RSCBulletedlist"/>
                      </w:pPr>
                      <w:r w:rsidRPr="00396656">
                        <w:t xml:space="preserve">Do not exceed the quantities outlined above or deviate from the method. </w:t>
                      </w:r>
                    </w:p>
                    <w:p w14:paraId="5E41FB7C" w14:textId="77777777" w:rsidR="003C5CB6" w:rsidRDefault="003C5CB6" w:rsidP="003C5CB6">
                      <w:pPr>
                        <w:pStyle w:val="RSCBulletedlist"/>
                      </w:pPr>
                      <w:r w:rsidRPr="00396656">
                        <w:t>Avoid using fuming nitric acid to prepare nitrocellulose because this could produce more than 12.6% nitrogen</w:t>
                      </w:r>
                      <w:r>
                        <w:t xml:space="preserve">, which </w:t>
                      </w:r>
                      <w:r w:rsidRPr="00396656">
                        <w:t xml:space="preserve">UK schools would need an explosives certificate for. </w:t>
                      </w:r>
                    </w:p>
                    <w:p w14:paraId="2459BA96" w14:textId="77777777" w:rsidR="003C5CB6" w:rsidRDefault="003C5CB6" w:rsidP="003C5CB6">
                      <w:pPr>
                        <w:pStyle w:val="RSCBulletedlist"/>
                      </w:pPr>
                      <w:proofErr w:type="gramStart"/>
                      <w:r>
                        <w:t>Don’t</w:t>
                      </w:r>
                      <w:proofErr w:type="gramEnd"/>
                      <w:r>
                        <w:t xml:space="preserve"> store flash paper; it should be</w:t>
                      </w:r>
                      <w:r w:rsidRPr="00396656">
                        <w:t xml:space="preserve"> create</w:t>
                      </w:r>
                      <w:r>
                        <w:t>d</w:t>
                      </w:r>
                      <w:r w:rsidRPr="00396656">
                        <w:t xml:space="preserve"> fresh. The paper decomposes over time and other staff </w:t>
                      </w:r>
                      <w:r>
                        <w:t xml:space="preserve">members could mistake this </w:t>
                      </w:r>
                      <w:r w:rsidRPr="00396656">
                        <w:t>for ordinary paper.</w:t>
                      </w:r>
                    </w:p>
                  </w:txbxContent>
                </v:textbox>
                <w10:wrap type="square" anchorx="margin" anchory="page"/>
              </v:shape>
            </w:pict>
          </mc:Fallback>
        </mc:AlternateContent>
      </w:r>
      <w:r w:rsidR="007F405E" w:rsidRPr="00396656">
        <w:rPr>
          <w:rFonts w:ascii="Century Gothic" w:eastAsiaTheme="minorHAnsi" w:hAnsi="Century Gothic" w:cs="Arial"/>
          <w:sz w:val="22"/>
          <w:szCs w:val="22"/>
          <w:lang w:eastAsia="zh-CN"/>
        </w:rPr>
        <w:t>Dispose of the nitrating mixture immediately by carefully pouring any remaining acid into the sodium carbonate solution in the surrounding tray. The now-neutralised solution can be poured down a foul water drain</w:t>
      </w:r>
      <w:r w:rsidR="00603108">
        <w:t xml:space="preserve">. </w:t>
      </w:r>
    </w:p>
    <w:p w14:paraId="448BA6B1" w14:textId="3E5D03B8" w:rsidR="003C5CB6" w:rsidRDefault="003C5CB6" w:rsidP="003C5CB6">
      <w:pPr>
        <w:pStyle w:val="RSCH2"/>
        <w:rPr>
          <w:lang w:eastAsia="en-GB"/>
        </w:rPr>
      </w:pPr>
      <w:r w:rsidRPr="00C331BD">
        <w:rPr>
          <w:lang w:eastAsia="en-GB"/>
        </w:rPr>
        <w:t>In front of the class</w:t>
      </w:r>
    </w:p>
    <w:p w14:paraId="3FD3A746" w14:textId="5BA3223D" w:rsidR="003C5CB6" w:rsidRDefault="003C5CB6" w:rsidP="003C5CB6">
      <w:pPr>
        <w:pStyle w:val="NormalWeb"/>
        <w:spacing w:after="0" w:line="234" w:lineRule="atLeast"/>
        <w:ind w:right="150"/>
        <w:jc w:val="left"/>
      </w:pPr>
      <w:r w:rsidRPr="00396656">
        <w:rPr>
          <w:rFonts w:ascii="Century Gothic" w:eastAsiaTheme="minorHAnsi" w:hAnsi="Century Gothic" w:cs="Arial"/>
          <w:sz w:val="22"/>
          <w:szCs w:val="22"/>
          <w:lang w:eastAsia="zh-CN"/>
        </w:rPr>
        <w:t>First show students how an untreated piece of filter paper burns to emphasise the reliance on oxygen diffusing in from the air to sustain the combustion reaction. Then put pieces of the flash paper on a wire gauze placed on a tripod over a heat-resistant mat and ignite with a lit splint. You can safely light small pieces (up to ~2 cm) using a pair of tweezers to hold them at arm’s-length. The paper will burn immediately with a bright yellow flame (thanks in part to the sodium carbonate bath), leaving almost no residual material.</w:t>
      </w:r>
    </w:p>
    <w:p w14:paraId="35C4FA07" w14:textId="77777777" w:rsidR="003C5CB6" w:rsidRPr="00C331BD" w:rsidRDefault="003C5CB6" w:rsidP="003C5CB6">
      <w:pPr>
        <w:pStyle w:val="RSCH2"/>
        <w:rPr>
          <w:rFonts w:cs="Times New Roman"/>
          <w:lang w:eastAsia="en-US"/>
        </w:rPr>
      </w:pPr>
      <w:r w:rsidRPr="00C331BD">
        <w:rPr>
          <w:lang w:eastAsia="en-US"/>
        </w:rPr>
        <w:t>Teaching goal</w:t>
      </w:r>
    </w:p>
    <w:p w14:paraId="60B8B0F6" w14:textId="77777777" w:rsidR="003C5CB6" w:rsidRPr="00706B4A" w:rsidRDefault="003C5CB6" w:rsidP="003C5CB6">
      <w:pPr>
        <w:pStyle w:val="NormalWeb"/>
        <w:spacing w:after="0" w:line="234" w:lineRule="atLeast"/>
        <w:ind w:right="150"/>
        <w:jc w:val="left"/>
        <w:rPr>
          <w:rFonts w:ascii="Century Gothic" w:eastAsiaTheme="minorHAnsi" w:hAnsi="Century Gothic" w:cs="Arial"/>
          <w:sz w:val="22"/>
          <w:szCs w:val="22"/>
          <w:lang w:eastAsia="en-US"/>
        </w:rPr>
      </w:pPr>
      <w:r w:rsidRPr="00AC5A7F">
        <w:rPr>
          <w:rFonts w:ascii="Century Gothic" w:eastAsiaTheme="minorHAnsi" w:hAnsi="Century Gothic" w:cs="Arial"/>
          <w:sz w:val="22"/>
          <w:szCs w:val="22"/>
          <w:lang w:eastAsia="zh-CN"/>
        </w:rPr>
        <w:t xml:space="preserve">Nitrocellulose is used as a propellant and has been popular with magicians since the 19th century. The demonstration is ideally suited to lessons with younger students on combustion, where you can show them the impact of available oxygen levels. The demonstration could also complement teaching nitration reactions to post-16 students. Mechanistic studies have shown that the reaction </w:t>
      </w:r>
      <w:r w:rsidRPr="00AC5A7F">
        <w:rPr>
          <w:rFonts w:ascii="Century Gothic" w:eastAsiaTheme="minorHAnsi" w:hAnsi="Century Gothic" w:cs="Arial"/>
          <w:sz w:val="22"/>
          <w:szCs w:val="22"/>
          <w:lang w:eastAsia="zh-CN"/>
        </w:rPr>
        <w:lastRenderedPageBreak/>
        <w:t xml:space="preserve">follows an analogous pathway </w:t>
      </w:r>
      <w:proofErr w:type="gramStart"/>
      <w:r w:rsidRPr="00AC5A7F">
        <w:rPr>
          <w:rFonts w:ascii="Century Gothic" w:eastAsiaTheme="minorHAnsi" w:hAnsi="Century Gothic" w:cs="Arial"/>
          <w:sz w:val="22"/>
          <w:szCs w:val="22"/>
          <w:lang w:eastAsia="zh-CN"/>
        </w:rPr>
        <w:t>similar to</w:t>
      </w:r>
      <w:proofErr w:type="gramEnd"/>
      <w:r w:rsidRPr="00AC5A7F">
        <w:rPr>
          <w:rFonts w:ascii="Century Gothic" w:eastAsiaTheme="minorHAnsi" w:hAnsi="Century Gothic" w:cs="Arial"/>
          <w:sz w:val="22"/>
          <w:szCs w:val="22"/>
          <w:lang w:eastAsia="zh-CN"/>
        </w:rPr>
        <w:t xml:space="preserve"> that of the nitration of benzene, where the </w:t>
      </w:r>
      <w:proofErr w:type="spellStart"/>
      <w:r w:rsidRPr="00AC5A7F">
        <w:rPr>
          <w:rFonts w:ascii="Century Gothic" w:eastAsiaTheme="minorHAnsi" w:hAnsi="Century Gothic" w:cs="Arial"/>
          <w:sz w:val="22"/>
          <w:szCs w:val="22"/>
          <w:lang w:eastAsia="zh-CN"/>
        </w:rPr>
        <w:t>nitronium</w:t>
      </w:r>
      <w:proofErr w:type="spellEnd"/>
      <w:r w:rsidRPr="00AC5A7F">
        <w:rPr>
          <w:rFonts w:ascii="Century Gothic" w:eastAsiaTheme="minorHAnsi" w:hAnsi="Century Gothic" w:cs="Arial"/>
          <w:sz w:val="22"/>
          <w:szCs w:val="22"/>
          <w:lang w:eastAsia="zh-CN"/>
        </w:rPr>
        <w:t xml:space="preserve"> ion is produced in the acid mixture, and then substitutes the hydrogen atom of a hydroxyl group on the cellulose.</w:t>
      </w:r>
    </w:p>
    <w:p w14:paraId="1FD4D425" w14:textId="2869C614" w:rsidR="007F405E" w:rsidRDefault="007F405E" w:rsidP="003C5CB6">
      <w:pPr>
        <w:pStyle w:val="RSCBasictext"/>
        <w:rPr>
          <w:lang w:eastAsia="en-GB"/>
        </w:rPr>
      </w:pPr>
    </w:p>
    <w:p w14:paraId="2F7CB1F5" w14:textId="5DC3DC7E" w:rsidR="00874205" w:rsidRDefault="00874205" w:rsidP="00B23F3F">
      <w:pPr>
        <w:pStyle w:val="RSCBasictext"/>
        <w:rPr>
          <w:lang w:eastAsia="en-GB"/>
        </w:rPr>
      </w:pPr>
    </w:p>
    <w:p w14:paraId="3DEEBB78" w14:textId="0A9AC170" w:rsidR="00874205" w:rsidRDefault="00874205" w:rsidP="00B23F3F">
      <w:pPr>
        <w:pStyle w:val="RSCBasictext"/>
        <w:rPr>
          <w:lang w:eastAsia="en-GB"/>
        </w:rPr>
      </w:pPr>
    </w:p>
    <w:p w14:paraId="6DFBAD2B" w14:textId="6B2F2F66" w:rsidR="00874205" w:rsidRDefault="00874205" w:rsidP="00B23F3F">
      <w:pPr>
        <w:pStyle w:val="RSCBasictext"/>
        <w:rPr>
          <w:lang w:eastAsia="en-GB"/>
        </w:rPr>
      </w:pPr>
    </w:p>
    <w:p w14:paraId="0C3A41BC" w14:textId="31F88F82" w:rsidR="00874205" w:rsidRDefault="00874205" w:rsidP="00B23F3F">
      <w:pPr>
        <w:pStyle w:val="RSCBasictext"/>
        <w:rPr>
          <w:lang w:eastAsia="en-GB"/>
        </w:rPr>
      </w:pPr>
    </w:p>
    <w:p w14:paraId="27A62946" w14:textId="2C8A1B01" w:rsidR="00874205" w:rsidRDefault="00874205" w:rsidP="00B23F3F">
      <w:pPr>
        <w:pStyle w:val="RSCBasictext"/>
        <w:rPr>
          <w:lang w:eastAsia="en-GB"/>
        </w:rPr>
      </w:pPr>
    </w:p>
    <w:p w14:paraId="493AAE29" w14:textId="6B382898" w:rsidR="00874205" w:rsidRDefault="00874205" w:rsidP="00B23F3F">
      <w:pPr>
        <w:pStyle w:val="RSCBasictext"/>
        <w:rPr>
          <w:lang w:eastAsia="en-GB"/>
        </w:rPr>
      </w:pPr>
    </w:p>
    <w:p w14:paraId="647A36EB" w14:textId="77777777" w:rsidR="00874205" w:rsidRDefault="00874205" w:rsidP="00B23F3F">
      <w:pPr>
        <w:pStyle w:val="RSCBasictext"/>
        <w:rPr>
          <w:lang w:eastAsia="en-GB"/>
        </w:rPr>
      </w:pPr>
    </w:p>
    <w:sectPr w:rsidR="00874205"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1A19" w14:textId="77777777" w:rsidR="00AB72ED" w:rsidRDefault="00AB72ED" w:rsidP="008A1B0B">
      <w:pPr>
        <w:spacing w:after="0" w:line="240" w:lineRule="auto"/>
      </w:pPr>
      <w:r>
        <w:separator/>
      </w:r>
    </w:p>
  </w:endnote>
  <w:endnote w:type="continuationSeparator" w:id="0">
    <w:p w14:paraId="2D431D29" w14:textId="77777777" w:rsidR="00AB72ED" w:rsidRDefault="00AB72ED"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C7F3E2C"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874205">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856D" w14:textId="77777777" w:rsidR="00AB72ED" w:rsidRDefault="00AB72ED" w:rsidP="008A1B0B">
      <w:pPr>
        <w:spacing w:after="0" w:line="240" w:lineRule="auto"/>
      </w:pPr>
      <w:r>
        <w:separator/>
      </w:r>
    </w:p>
  </w:footnote>
  <w:footnote w:type="continuationSeparator" w:id="0">
    <w:p w14:paraId="51DE311F" w14:textId="77777777" w:rsidR="00AB72ED" w:rsidRDefault="00AB72ED"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7480005" w:rsidR="008A1B0B" w:rsidRDefault="006F14C3"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751" behindDoc="0" locked="0" layoutInCell="1" allowOverlap="1" wp14:anchorId="23C61EC9" wp14:editId="5EFBA724">
          <wp:simplePos x="0" y="0"/>
          <wp:positionH relativeFrom="column">
            <wp:posOffset>-539750</wp:posOffset>
          </wp:positionH>
          <wp:positionV relativeFrom="paragraph">
            <wp:posOffset>31115</wp:posOffset>
          </wp:positionV>
          <wp:extent cx="2161036" cy="362713"/>
          <wp:effectExtent l="0" t="0" r="0" b="0"/>
          <wp:wrapNone/>
          <wp:docPr id="1" name="Picture 1"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036" cy="362713"/>
                  </a:xfrm>
                  <a:prstGeom prst="rect">
                    <a:avLst/>
                  </a:prstGeom>
                </pic:spPr>
              </pic:pic>
            </a:graphicData>
          </a:graphic>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3DA66C4C">
          <wp:simplePos x="0" y="0"/>
          <wp:positionH relativeFrom="column">
            <wp:posOffset>-914400</wp:posOffset>
          </wp:positionH>
          <wp:positionV relativeFrom="paragraph">
            <wp:posOffset>-267335</wp:posOffset>
          </wp:positionV>
          <wp:extent cx="7569200" cy="107114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A36F5">
      <w:rPr>
        <w:rFonts w:ascii="Century Gothic" w:hAnsi="Century Gothic"/>
        <w:b/>
        <w:bCs/>
        <w:color w:val="006F62"/>
        <w:sz w:val="30"/>
        <w:szCs w:val="30"/>
      </w:rPr>
      <w:t>Education in Chemistry</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6F105693" w:rsidR="00165FBB" w:rsidRPr="00A77B3E" w:rsidRDefault="00227CE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sidR="00875152" w:rsidRPr="009F18E6">
      <w:rPr>
        <w:color w:val="000000" w:themeColor="text1"/>
        <w:sz w:val="18"/>
        <w:szCs w:val="18"/>
      </w:rPr>
      <w:t xml:space="preserve"> </w:t>
    </w:r>
    <w:r w:rsidR="007F405E" w:rsidRPr="007F405E">
      <w:rPr>
        <w:sz w:val="18"/>
        <w:szCs w:val="18"/>
      </w:rPr>
      <w:t>rsc.li/3PBjAA8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649714">
    <w:abstractNumId w:val="11"/>
  </w:num>
  <w:num w:numId="2" w16cid:durableId="1038973225">
    <w:abstractNumId w:val="7"/>
  </w:num>
  <w:num w:numId="3" w16cid:durableId="56520563">
    <w:abstractNumId w:val="5"/>
  </w:num>
  <w:num w:numId="4" w16cid:durableId="761217791">
    <w:abstractNumId w:val="6"/>
  </w:num>
  <w:num w:numId="5" w16cid:durableId="1934779874">
    <w:abstractNumId w:val="9"/>
  </w:num>
  <w:num w:numId="6" w16cid:durableId="2062048897">
    <w:abstractNumId w:val="10"/>
  </w:num>
  <w:num w:numId="7" w16cid:durableId="1144666861">
    <w:abstractNumId w:val="1"/>
  </w:num>
  <w:num w:numId="8" w16cid:durableId="911543837">
    <w:abstractNumId w:val="4"/>
  </w:num>
  <w:num w:numId="9" w16cid:durableId="228883172">
    <w:abstractNumId w:val="3"/>
  </w:num>
  <w:num w:numId="10" w16cid:durableId="438650040">
    <w:abstractNumId w:val="2"/>
  </w:num>
  <w:num w:numId="11" w16cid:durableId="1767772884">
    <w:abstractNumId w:val="8"/>
  </w:num>
  <w:num w:numId="12" w16cid:durableId="1228109984">
    <w:abstractNumId w:val="2"/>
    <w:lvlOverride w:ilvl="0">
      <w:startOverride w:val="1"/>
    </w:lvlOverride>
  </w:num>
  <w:num w:numId="13" w16cid:durableId="789788006">
    <w:abstractNumId w:val="3"/>
    <w:lvlOverride w:ilvl="0">
      <w:startOverride w:val="1"/>
    </w:lvlOverride>
  </w:num>
  <w:num w:numId="14" w16cid:durableId="620956404">
    <w:abstractNumId w:val="0"/>
  </w:num>
  <w:num w:numId="15" w16cid:durableId="65460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416BD"/>
    <w:rsid w:val="000736CE"/>
    <w:rsid w:val="000B0FE6"/>
    <w:rsid w:val="000C6F9E"/>
    <w:rsid w:val="000D28BF"/>
    <w:rsid w:val="000E4D3D"/>
    <w:rsid w:val="00114920"/>
    <w:rsid w:val="001244D0"/>
    <w:rsid w:val="00131E9D"/>
    <w:rsid w:val="00136040"/>
    <w:rsid w:val="00165FBB"/>
    <w:rsid w:val="00181464"/>
    <w:rsid w:val="0018159A"/>
    <w:rsid w:val="00202012"/>
    <w:rsid w:val="00220CCE"/>
    <w:rsid w:val="00223A48"/>
    <w:rsid w:val="00227CE4"/>
    <w:rsid w:val="00231C1C"/>
    <w:rsid w:val="0023635E"/>
    <w:rsid w:val="00267984"/>
    <w:rsid w:val="0027066D"/>
    <w:rsid w:val="0027099B"/>
    <w:rsid w:val="002E47CA"/>
    <w:rsid w:val="002F19FD"/>
    <w:rsid w:val="002F4A48"/>
    <w:rsid w:val="003059AB"/>
    <w:rsid w:val="00311D98"/>
    <w:rsid w:val="00351CAD"/>
    <w:rsid w:val="003716B9"/>
    <w:rsid w:val="003C2FED"/>
    <w:rsid w:val="003C5CB6"/>
    <w:rsid w:val="003E06B3"/>
    <w:rsid w:val="00401323"/>
    <w:rsid w:val="004102F1"/>
    <w:rsid w:val="0046389A"/>
    <w:rsid w:val="00475D2B"/>
    <w:rsid w:val="00516F80"/>
    <w:rsid w:val="0052749E"/>
    <w:rsid w:val="00540853"/>
    <w:rsid w:val="005D4D21"/>
    <w:rsid w:val="005E3839"/>
    <w:rsid w:val="005F4E1D"/>
    <w:rsid w:val="00603108"/>
    <w:rsid w:val="0063402C"/>
    <w:rsid w:val="00635F8E"/>
    <w:rsid w:val="00642C54"/>
    <w:rsid w:val="006820BE"/>
    <w:rsid w:val="006D691A"/>
    <w:rsid w:val="006D790E"/>
    <w:rsid w:val="006E3591"/>
    <w:rsid w:val="006F14C3"/>
    <w:rsid w:val="007042E5"/>
    <w:rsid w:val="00722220"/>
    <w:rsid w:val="00745C8F"/>
    <w:rsid w:val="007A2BF5"/>
    <w:rsid w:val="007C4F48"/>
    <w:rsid w:val="007E0273"/>
    <w:rsid w:val="007F405E"/>
    <w:rsid w:val="00806527"/>
    <w:rsid w:val="00814733"/>
    <w:rsid w:val="0082786C"/>
    <w:rsid w:val="00835B9C"/>
    <w:rsid w:val="0084304C"/>
    <w:rsid w:val="008469DA"/>
    <w:rsid w:val="0085087B"/>
    <w:rsid w:val="008540CC"/>
    <w:rsid w:val="00874205"/>
    <w:rsid w:val="00875152"/>
    <w:rsid w:val="0089187A"/>
    <w:rsid w:val="008A1B0B"/>
    <w:rsid w:val="008B0C59"/>
    <w:rsid w:val="008B194F"/>
    <w:rsid w:val="008D1C0B"/>
    <w:rsid w:val="008E09DC"/>
    <w:rsid w:val="008F1483"/>
    <w:rsid w:val="00916644"/>
    <w:rsid w:val="00962FE8"/>
    <w:rsid w:val="00966388"/>
    <w:rsid w:val="009817D9"/>
    <w:rsid w:val="009C75A2"/>
    <w:rsid w:val="009C7848"/>
    <w:rsid w:val="009F1E12"/>
    <w:rsid w:val="00A520DD"/>
    <w:rsid w:val="00A5348B"/>
    <w:rsid w:val="00A571EB"/>
    <w:rsid w:val="00A5740C"/>
    <w:rsid w:val="00A725C3"/>
    <w:rsid w:val="00A77B3E"/>
    <w:rsid w:val="00AB2E98"/>
    <w:rsid w:val="00AB72ED"/>
    <w:rsid w:val="00AF5EEF"/>
    <w:rsid w:val="00B226A7"/>
    <w:rsid w:val="00B23F3F"/>
    <w:rsid w:val="00B67A03"/>
    <w:rsid w:val="00B92CCB"/>
    <w:rsid w:val="00BA4A8E"/>
    <w:rsid w:val="00BE26EA"/>
    <w:rsid w:val="00BE475D"/>
    <w:rsid w:val="00BE6FE7"/>
    <w:rsid w:val="00C01C44"/>
    <w:rsid w:val="00C142E7"/>
    <w:rsid w:val="00C1703F"/>
    <w:rsid w:val="00C618E1"/>
    <w:rsid w:val="00C91FB7"/>
    <w:rsid w:val="00CA36F5"/>
    <w:rsid w:val="00CB17C2"/>
    <w:rsid w:val="00CD56DB"/>
    <w:rsid w:val="00CD5E3C"/>
    <w:rsid w:val="00D40FE2"/>
    <w:rsid w:val="00D42C66"/>
    <w:rsid w:val="00D45DC6"/>
    <w:rsid w:val="00D721EF"/>
    <w:rsid w:val="00DD42BA"/>
    <w:rsid w:val="00DE5A5F"/>
    <w:rsid w:val="00E001BB"/>
    <w:rsid w:val="00E244DF"/>
    <w:rsid w:val="00E54AF2"/>
    <w:rsid w:val="00E67E47"/>
    <w:rsid w:val="00EB3273"/>
    <w:rsid w:val="00EE22CA"/>
    <w:rsid w:val="00EF065E"/>
    <w:rsid w:val="00F27540"/>
    <w:rsid w:val="00F629F3"/>
    <w:rsid w:val="00F67E06"/>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sc.org/exhibition-chemistry/the-production-and-combustion-of-nitrocellulose/4015917.artic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3431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Deborah Van Wyk</cp:lastModifiedBy>
  <cp:revision>4</cp:revision>
  <dcterms:created xsi:type="dcterms:W3CDTF">2022-08-16T09:45:00Z</dcterms:created>
  <dcterms:modified xsi:type="dcterms:W3CDTF">2022-08-16T09:58:00Z</dcterms:modified>
  <cp:category/>
</cp:coreProperties>
</file>