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552C" w14:textId="22FCA2E0" w:rsidR="00D511D8" w:rsidRDefault="006F3B8C" w:rsidP="00D0546F">
      <w:pPr>
        <w:pStyle w:val="Heading1"/>
        <w:tabs>
          <w:tab w:val="left" w:pos="1332"/>
        </w:tabs>
      </w:pPr>
      <w:r>
        <w:t xml:space="preserve">Measuring density </w:t>
      </w:r>
      <w:r w:rsidR="00D511D8">
        <w:t xml:space="preserve">– </w:t>
      </w:r>
      <w:r w:rsidR="00D0546F">
        <w:t>teacher notes</w:t>
      </w:r>
    </w:p>
    <w:p w14:paraId="49916568" w14:textId="14727569" w:rsidR="00D0546F" w:rsidRDefault="00D0546F" w:rsidP="00D0546F"/>
    <w:p w14:paraId="060EF319" w14:textId="6957E6C2" w:rsidR="00D0546F" w:rsidRDefault="00D0546F" w:rsidP="00D0546F">
      <w:pPr>
        <w:pStyle w:val="Heading2"/>
      </w:pPr>
      <w:r>
        <w:t>Topic</w:t>
      </w:r>
    </w:p>
    <w:p w14:paraId="66EC297C" w14:textId="6AC40036" w:rsidR="00D0546F" w:rsidRDefault="006F3B8C" w:rsidP="00D0546F">
      <w:pPr>
        <w:pStyle w:val="Default"/>
      </w:pPr>
      <w:r>
        <w:t>Scientific methodology</w:t>
      </w:r>
    </w:p>
    <w:p w14:paraId="711EF8BF" w14:textId="2580EB75" w:rsidR="00D0546F" w:rsidRDefault="00D0546F" w:rsidP="00D0546F">
      <w:pPr>
        <w:pStyle w:val="Heading2"/>
      </w:pPr>
      <w:r>
        <w:t>Timing</w:t>
      </w:r>
    </w:p>
    <w:p w14:paraId="5DD5AD43" w14:textId="218CBDEC" w:rsidR="00A21641" w:rsidRPr="00A21641" w:rsidRDefault="006F3B8C" w:rsidP="00A21641">
      <w:r>
        <w:t>20 minutes</w:t>
      </w:r>
    </w:p>
    <w:p w14:paraId="2A857170" w14:textId="39DA9F3C" w:rsidR="00D0546F" w:rsidRDefault="00A21641" w:rsidP="00A21641">
      <w:pPr>
        <w:pStyle w:val="Heading2"/>
      </w:pPr>
      <w:r>
        <w:t>Description</w:t>
      </w:r>
    </w:p>
    <w:p w14:paraId="131B9DC9" w14:textId="523447C6" w:rsidR="00A21641" w:rsidRPr="00A21641" w:rsidRDefault="006F3B8C" w:rsidP="006F3B8C">
      <w:r>
        <w:t>In this experiment students determine and compare the density of tap water and seawater using a small measuring cylinder and a sensitive balance.</w:t>
      </w:r>
    </w:p>
    <w:p w14:paraId="41311457" w14:textId="6E667520" w:rsidR="00D0546F" w:rsidRDefault="00D0546F" w:rsidP="00D0546F">
      <w:pPr>
        <w:pStyle w:val="Heading2"/>
      </w:pPr>
      <w:r>
        <w:t>Apparatus</w:t>
      </w:r>
    </w:p>
    <w:p w14:paraId="3F40403E" w14:textId="77777777" w:rsidR="006F3B8C" w:rsidRPr="006F3B8C" w:rsidRDefault="006F3B8C" w:rsidP="006F3B8C">
      <w:pPr>
        <w:pStyle w:val="ListParagraph"/>
        <w:numPr>
          <w:ilvl w:val="0"/>
          <w:numId w:val="23"/>
        </w:numPr>
      </w:pPr>
      <w:r w:rsidRPr="006F3B8C">
        <w:t>Student worksheet</w:t>
      </w:r>
    </w:p>
    <w:p w14:paraId="1EED68A3" w14:textId="77777777" w:rsidR="006F3B8C" w:rsidRPr="006F3B8C" w:rsidRDefault="006F3B8C" w:rsidP="006F3B8C">
      <w:pPr>
        <w:pStyle w:val="ListParagraph"/>
        <w:numPr>
          <w:ilvl w:val="0"/>
          <w:numId w:val="23"/>
        </w:numPr>
      </w:pPr>
      <w:r w:rsidRPr="006F3B8C">
        <w:t>Measuring cylinder, 5 cm</w:t>
      </w:r>
      <w:r w:rsidRPr="006F3B8C">
        <w:rPr>
          <w:vertAlign w:val="superscript"/>
        </w:rPr>
        <w:t>3</w:t>
      </w:r>
    </w:p>
    <w:p w14:paraId="14D3EE17" w14:textId="77777777" w:rsidR="006F3B8C" w:rsidRPr="006F3B8C" w:rsidRDefault="006F3B8C" w:rsidP="006F3B8C">
      <w:pPr>
        <w:pStyle w:val="ListParagraph"/>
        <w:numPr>
          <w:ilvl w:val="0"/>
          <w:numId w:val="23"/>
        </w:numPr>
      </w:pPr>
      <w:r w:rsidRPr="006F3B8C">
        <w:t>Sheet of graph paper</w:t>
      </w:r>
    </w:p>
    <w:p w14:paraId="216196AA" w14:textId="77777777" w:rsidR="006F3B8C" w:rsidRPr="006F3B8C" w:rsidRDefault="006F3B8C" w:rsidP="006F3B8C">
      <w:pPr>
        <w:pStyle w:val="ListParagraph"/>
        <w:numPr>
          <w:ilvl w:val="0"/>
          <w:numId w:val="23"/>
        </w:numPr>
      </w:pPr>
      <w:r w:rsidRPr="006F3B8C">
        <w:t>Access to a balance that reads to 0.01g</w:t>
      </w:r>
    </w:p>
    <w:p w14:paraId="069A545C" w14:textId="69A307A4" w:rsidR="00D0546F" w:rsidRDefault="00D0546F" w:rsidP="00D0546F">
      <w:pPr>
        <w:pStyle w:val="Default"/>
        <w:rPr>
          <w:sz w:val="20"/>
          <w:szCs w:val="20"/>
        </w:rPr>
      </w:pPr>
    </w:p>
    <w:p w14:paraId="2E68FD97" w14:textId="0EC6E05B" w:rsidR="00D0546F" w:rsidRDefault="00D0546F" w:rsidP="00D0546F">
      <w:pPr>
        <w:pStyle w:val="Heading2"/>
      </w:pPr>
      <w:r>
        <w:t>Chemicals</w:t>
      </w:r>
    </w:p>
    <w:p w14:paraId="5C473582" w14:textId="77777777" w:rsidR="006F3B8C" w:rsidRPr="006F3B8C" w:rsidRDefault="006F3B8C" w:rsidP="006F3B8C">
      <w:pPr>
        <w:pStyle w:val="ListParagraph"/>
        <w:numPr>
          <w:ilvl w:val="0"/>
          <w:numId w:val="22"/>
        </w:numPr>
      </w:pPr>
      <w:r w:rsidRPr="006F3B8C">
        <w:t>Tap water</w:t>
      </w:r>
    </w:p>
    <w:p w14:paraId="32DCB623" w14:textId="77777777" w:rsidR="006F3B8C" w:rsidRPr="006F3B8C" w:rsidRDefault="006F3B8C" w:rsidP="006F3B8C">
      <w:pPr>
        <w:pStyle w:val="ListParagraph"/>
        <w:numPr>
          <w:ilvl w:val="0"/>
          <w:numId w:val="22"/>
        </w:numPr>
      </w:pPr>
      <w:r w:rsidRPr="006F3B8C">
        <w:t>Seawater</w:t>
      </w:r>
    </w:p>
    <w:p w14:paraId="522838EB" w14:textId="77777777" w:rsidR="004E0D1B" w:rsidRDefault="004E0D1B" w:rsidP="00F8362D"/>
    <w:p w14:paraId="0C2D18E1" w14:textId="18008058" w:rsidR="00D0546F" w:rsidRPr="00D0546F" w:rsidRDefault="004E0D1B" w:rsidP="004E0D1B">
      <w:pPr>
        <w:pStyle w:val="Heading2"/>
      </w:pPr>
      <w:r>
        <w:t>Observations</w:t>
      </w:r>
    </w:p>
    <w:p w14:paraId="01DF317D" w14:textId="2F1CC660" w:rsidR="006F3B8C" w:rsidRDefault="006F3B8C" w:rsidP="006F3B8C">
      <w:r w:rsidRPr="006F3B8C">
        <w:t>Specimen results are given below. From these results, it is possible to distinguish the density of tap water and seawater using this method.</w:t>
      </w:r>
    </w:p>
    <w:p w14:paraId="7DF315BB" w14:textId="77777777" w:rsidR="006F3B8C" w:rsidRPr="006F3B8C" w:rsidRDefault="006F3B8C" w:rsidP="006F3B8C"/>
    <w:p w14:paraId="6A7A3E35" w14:textId="7195A45C" w:rsidR="006F3B8C" w:rsidRDefault="006F3B8C" w:rsidP="006F3B8C">
      <w:r w:rsidRPr="006F3B8C">
        <w:t xml:space="preserve">The experiment is simple to do, although students must work carefully to get good results. A wealth of data </w:t>
      </w:r>
      <w:proofErr w:type="gramStart"/>
      <w:r w:rsidRPr="006F3B8C">
        <w:t>are</w:t>
      </w:r>
      <w:proofErr w:type="gramEnd"/>
      <w:r w:rsidRPr="006F3B8C">
        <w:t xml:space="preserve"> produced, which when examined and interpreted show the application of mathematics to experimental science. </w:t>
      </w:r>
      <w:proofErr w:type="gramStart"/>
      <w:r w:rsidRPr="006F3B8C">
        <w:t>In particular, this</w:t>
      </w:r>
      <w:proofErr w:type="gramEnd"/>
      <w:r w:rsidRPr="006F3B8C">
        <w:t xml:space="preserve"> shows the value of treating data graphically.</w:t>
      </w:r>
    </w:p>
    <w:p w14:paraId="14CF6053" w14:textId="77777777" w:rsidR="006F3B8C" w:rsidRPr="006F3B8C" w:rsidRDefault="006F3B8C" w:rsidP="006F3B8C"/>
    <w:p w14:paraId="6EB16121" w14:textId="77777777" w:rsidR="006F3B8C" w:rsidRPr="006F3B8C" w:rsidRDefault="006F3B8C" w:rsidP="006F3B8C">
      <w:r w:rsidRPr="006F3B8C">
        <w:t xml:space="preserve">Students could be told that it was </w:t>
      </w:r>
      <w:proofErr w:type="gramStart"/>
      <w:r w:rsidRPr="006F3B8C">
        <w:t>as a result of</w:t>
      </w:r>
      <w:proofErr w:type="gramEnd"/>
      <w:r w:rsidRPr="006F3B8C">
        <w:t xml:space="preserve"> appreciating the significance of small differences in mass that important scientific discoveries have been made. For example, in 1894 William Ramsay and Lord Raleigh discovered the element argon in air by investigating the small but consistent discrepancy between the (higher) density of nitrogen obtained from air by removing the oxygen (atmospheric nitrogen) and nitrogen prepared from its compounds (</w:t>
      </w:r>
      <w:proofErr w:type="spellStart"/>
      <w:proofErr w:type="gramStart"/>
      <w:r w:rsidRPr="006F3B8C">
        <w:t>eg</w:t>
      </w:r>
      <w:proofErr w:type="spellEnd"/>
      <w:proofErr w:type="gramEnd"/>
      <w:r w:rsidRPr="006F3B8C">
        <w:t xml:space="preserve"> heating ammonium nitrite solution).</w:t>
      </w:r>
    </w:p>
    <w:p w14:paraId="30454DD1" w14:textId="62E1C033" w:rsidR="005678CE" w:rsidRDefault="005678CE" w:rsidP="005678CE"/>
    <w:p w14:paraId="09974E2E" w14:textId="6602BC1D" w:rsidR="006F3B8C" w:rsidRDefault="006F3B8C" w:rsidP="006F3B8C">
      <w:pPr>
        <w:pStyle w:val="Heading2"/>
      </w:pPr>
      <w:r>
        <w:t>Note</w:t>
      </w:r>
    </w:p>
    <w:p w14:paraId="11F79681" w14:textId="5B3EA038" w:rsidR="006F3B8C" w:rsidRDefault="006F3B8C" w:rsidP="006F3B8C">
      <w:r>
        <w:t>You will require a balance that reads to 0.01 g. Specimen results measuring the densities of seawater and tap water</w:t>
      </w:r>
      <w:r>
        <w:t xml:space="preserve"> are overleaf.</w:t>
      </w:r>
    </w:p>
    <w:p w14:paraId="3D350FB9" w14:textId="62C0EF84" w:rsidR="006F3B8C" w:rsidRPr="006F3B8C" w:rsidRDefault="006F3B8C" w:rsidP="006F3B8C">
      <w:r>
        <w:rPr>
          <w:noProof/>
        </w:rPr>
        <w:lastRenderedPageBreak/>
        <w:drawing>
          <wp:inline distT="0" distB="0" distL="0" distR="0" wp14:anchorId="6ABBFA7C" wp14:editId="53D08DE2">
            <wp:extent cx="2644140" cy="3939540"/>
            <wp:effectExtent l="0" t="0" r="3810" b="381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644140" cy="3939540"/>
                    </a:xfrm>
                    <a:prstGeom prst="rect">
                      <a:avLst/>
                    </a:prstGeom>
                  </pic:spPr>
                </pic:pic>
              </a:graphicData>
            </a:graphic>
          </wp:inline>
        </w:drawing>
      </w:r>
      <w:r>
        <w:rPr>
          <w:noProof/>
        </w:rPr>
        <w:drawing>
          <wp:inline distT="0" distB="0" distL="0" distR="0" wp14:anchorId="1EB188E1" wp14:editId="30CF5813">
            <wp:extent cx="2766060" cy="393275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66683" cy="3933636"/>
                    </a:xfrm>
                    <a:prstGeom prst="rect">
                      <a:avLst/>
                    </a:prstGeom>
                  </pic:spPr>
                </pic:pic>
              </a:graphicData>
            </a:graphic>
          </wp:inline>
        </w:drawing>
      </w:r>
    </w:p>
    <w:p w14:paraId="3C4B930C" w14:textId="77777777" w:rsidR="00BC3D8E" w:rsidRDefault="00BC3D8E" w:rsidP="00D511D8">
      <w:pPr>
        <w:pStyle w:val="Heading2"/>
      </w:pPr>
      <w:r>
        <w:t xml:space="preserve">Extension </w:t>
      </w:r>
    </w:p>
    <w:p w14:paraId="6F577392" w14:textId="4EAC1FC4" w:rsidR="00BC3D8E" w:rsidRDefault="00BC3D8E" w:rsidP="00BC3D8E">
      <w:r>
        <w:t>It may be interesting to extend this experiment to measure the relative densities of, for example, Coke</w:t>
      </w:r>
      <w:r w:rsidRPr="00BC3D8E">
        <w:rPr>
          <w:vertAlign w:val="superscript"/>
        </w:rPr>
        <w:t>®</w:t>
      </w:r>
      <w:r>
        <w:t xml:space="preserve"> and Diet Coke</w:t>
      </w:r>
      <w:r w:rsidRPr="00BC3D8E">
        <w:rPr>
          <w:vertAlign w:val="superscript"/>
        </w:rPr>
        <w:t>®</w:t>
      </w:r>
      <w:r>
        <w:t>.</w:t>
      </w:r>
    </w:p>
    <w:p w14:paraId="0E1C208A" w14:textId="30E8D59B" w:rsidR="00D511D8" w:rsidRDefault="00D511D8" w:rsidP="00D511D8">
      <w:pPr>
        <w:pStyle w:val="Heading2"/>
      </w:pPr>
      <w:r>
        <w:t>Health</w:t>
      </w:r>
      <w:r w:rsidR="00D0546F">
        <w:t xml:space="preserve">, </w:t>
      </w:r>
      <w:proofErr w:type="gramStart"/>
      <w:r>
        <w:t>safety</w:t>
      </w:r>
      <w:proofErr w:type="gramEnd"/>
      <w:r w:rsidR="00D0546F">
        <w:t xml:space="preserve"> and technical notes</w:t>
      </w:r>
    </w:p>
    <w:p w14:paraId="5517DD9B" w14:textId="4C18EB71" w:rsidR="00FD7D9D" w:rsidRPr="006F3B8C" w:rsidRDefault="006F3B8C" w:rsidP="006F3B8C">
      <w:pPr>
        <w:pStyle w:val="ListParagraph"/>
        <w:numPr>
          <w:ilvl w:val="0"/>
          <w:numId w:val="21"/>
        </w:numPr>
      </w:pPr>
      <w:r w:rsidRPr="006F3B8C">
        <w:t>There are no significant hazards associated with this experiment. </w:t>
      </w:r>
    </w:p>
    <w:p w14:paraId="243EB354" w14:textId="77777777" w:rsidR="00D0546F" w:rsidRPr="00D511D8" w:rsidRDefault="00D0546F" w:rsidP="00D511D8"/>
    <w:sectPr w:rsidR="00D0546F" w:rsidRPr="00D511D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15654" w14:textId="77777777" w:rsidR="00EE20FF" w:rsidRDefault="00EE20FF" w:rsidP="00883634">
      <w:pPr>
        <w:spacing w:line="240" w:lineRule="auto"/>
      </w:pPr>
      <w:r>
        <w:separator/>
      </w:r>
    </w:p>
  </w:endnote>
  <w:endnote w:type="continuationSeparator" w:id="0">
    <w:p w14:paraId="37BD01B2" w14:textId="77777777" w:rsidR="00EE20FF" w:rsidRDefault="00EE20FF"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4D44FBE5"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bookmarkStart w:id="0" w:name="_Hlk115764536"/>
    <w:r w:rsidR="00BC3D8E">
      <w:rPr>
        <w:sz w:val="16"/>
        <w:szCs w:val="16"/>
      </w:rPr>
      <w:fldChar w:fldCharType="begin"/>
    </w:r>
    <w:r w:rsidR="00BC3D8E">
      <w:rPr>
        <w:sz w:val="16"/>
        <w:szCs w:val="16"/>
      </w:rPr>
      <w:instrText xml:space="preserve"> HYPERLINK "</w:instrText>
    </w:r>
    <w:r w:rsidR="00BC3D8E" w:rsidRPr="00BC3D8E">
      <w:rPr>
        <w:sz w:val="16"/>
        <w:szCs w:val="16"/>
      </w:rPr>
      <w:instrText>https://rsc.li/3V0tZsj</w:instrText>
    </w:r>
    <w:r w:rsidR="00BC3D8E">
      <w:rPr>
        <w:sz w:val="16"/>
        <w:szCs w:val="16"/>
      </w:rPr>
      <w:instrText xml:space="preserve">" </w:instrText>
    </w:r>
    <w:r w:rsidR="00BC3D8E">
      <w:rPr>
        <w:sz w:val="16"/>
        <w:szCs w:val="16"/>
      </w:rPr>
      <w:fldChar w:fldCharType="separate"/>
    </w:r>
    <w:r w:rsidR="00BC3D8E" w:rsidRPr="00E16371">
      <w:rPr>
        <w:rStyle w:val="Hyperlink"/>
        <w:sz w:val="16"/>
        <w:szCs w:val="16"/>
      </w:rPr>
      <w:t>https://rsc.li/3V0tZsj</w:t>
    </w:r>
    <w:r w:rsidR="00BC3D8E">
      <w:rPr>
        <w:sz w:val="16"/>
        <w:szCs w:val="16"/>
      </w:rPr>
      <w:fldChar w:fldCharType="end"/>
    </w:r>
    <w:r w:rsidR="00BC3D8E">
      <w:rPr>
        <w:sz w:val="16"/>
        <w:szCs w:val="16"/>
      </w:rPr>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7E7D2" w14:textId="77777777" w:rsidR="00EE20FF" w:rsidRDefault="00EE20FF" w:rsidP="00883634">
      <w:pPr>
        <w:spacing w:line="240" w:lineRule="auto"/>
      </w:pPr>
      <w:r>
        <w:separator/>
      </w:r>
    </w:p>
  </w:footnote>
  <w:footnote w:type="continuationSeparator" w:id="0">
    <w:p w14:paraId="0CAAF521" w14:textId="77777777" w:rsidR="00EE20FF" w:rsidRDefault="00EE20FF"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990"/>
    <w:multiLevelType w:val="hybridMultilevel"/>
    <w:tmpl w:val="27B481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87F29"/>
    <w:multiLevelType w:val="hybridMultilevel"/>
    <w:tmpl w:val="46AA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A79C7"/>
    <w:multiLevelType w:val="multilevel"/>
    <w:tmpl w:val="2BFC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67081"/>
    <w:multiLevelType w:val="multilevel"/>
    <w:tmpl w:val="A088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A23F9"/>
    <w:multiLevelType w:val="multilevel"/>
    <w:tmpl w:val="9758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9500A"/>
    <w:multiLevelType w:val="hybridMultilevel"/>
    <w:tmpl w:val="CB24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C3665"/>
    <w:multiLevelType w:val="hybridMultilevel"/>
    <w:tmpl w:val="DA6E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9229E"/>
    <w:multiLevelType w:val="hybridMultilevel"/>
    <w:tmpl w:val="A3F46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534BD"/>
    <w:multiLevelType w:val="hybridMultilevel"/>
    <w:tmpl w:val="05E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68556B"/>
    <w:multiLevelType w:val="hybridMultilevel"/>
    <w:tmpl w:val="809A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50B08"/>
    <w:multiLevelType w:val="hybridMultilevel"/>
    <w:tmpl w:val="A7F2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30383"/>
    <w:multiLevelType w:val="hybridMultilevel"/>
    <w:tmpl w:val="4FA4A564"/>
    <w:lvl w:ilvl="0" w:tplc="D906622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E2276"/>
    <w:multiLevelType w:val="hybridMultilevel"/>
    <w:tmpl w:val="6F12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AA03D0"/>
    <w:multiLevelType w:val="hybridMultilevel"/>
    <w:tmpl w:val="EF1A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24A22"/>
    <w:multiLevelType w:val="hybridMultilevel"/>
    <w:tmpl w:val="97C6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6F39B0"/>
    <w:multiLevelType w:val="hybridMultilevel"/>
    <w:tmpl w:val="87D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571491">
    <w:abstractNumId w:val="1"/>
  </w:num>
  <w:num w:numId="2" w16cid:durableId="1739131344">
    <w:abstractNumId w:val="20"/>
  </w:num>
  <w:num w:numId="3" w16cid:durableId="1924870401">
    <w:abstractNumId w:val="8"/>
  </w:num>
  <w:num w:numId="4" w16cid:durableId="944340580">
    <w:abstractNumId w:val="16"/>
  </w:num>
  <w:num w:numId="5" w16cid:durableId="526020237">
    <w:abstractNumId w:val="21"/>
  </w:num>
  <w:num w:numId="6" w16cid:durableId="900870216">
    <w:abstractNumId w:val="2"/>
  </w:num>
  <w:num w:numId="7" w16cid:durableId="1047753641">
    <w:abstractNumId w:val="17"/>
  </w:num>
  <w:num w:numId="8" w16cid:durableId="1679190884">
    <w:abstractNumId w:val="13"/>
  </w:num>
  <w:num w:numId="9" w16cid:durableId="1820535991">
    <w:abstractNumId w:val="0"/>
  </w:num>
  <w:num w:numId="10" w16cid:durableId="1670012541">
    <w:abstractNumId w:val="3"/>
  </w:num>
  <w:num w:numId="11" w16cid:durableId="121849413">
    <w:abstractNumId w:val="9"/>
  </w:num>
  <w:num w:numId="12" w16cid:durableId="889849959">
    <w:abstractNumId w:val="7"/>
  </w:num>
  <w:num w:numId="13" w16cid:durableId="1586450970">
    <w:abstractNumId w:val="19"/>
  </w:num>
  <w:num w:numId="14" w16cid:durableId="642855116">
    <w:abstractNumId w:val="22"/>
  </w:num>
  <w:num w:numId="15" w16cid:durableId="1181316693">
    <w:abstractNumId w:val="11"/>
  </w:num>
  <w:num w:numId="16" w16cid:durableId="1418670244">
    <w:abstractNumId w:val="18"/>
  </w:num>
  <w:num w:numId="17" w16cid:durableId="899023389">
    <w:abstractNumId w:val="14"/>
  </w:num>
  <w:num w:numId="18" w16cid:durableId="940450635">
    <w:abstractNumId w:val="5"/>
  </w:num>
  <w:num w:numId="19" w16cid:durableId="1879512764">
    <w:abstractNumId w:val="6"/>
  </w:num>
  <w:num w:numId="20" w16cid:durableId="61412913">
    <w:abstractNumId w:val="4"/>
  </w:num>
  <w:num w:numId="21" w16cid:durableId="1240017723">
    <w:abstractNumId w:val="10"/>
  </w:num>
  <w:num w:numId="22" w16cid:durableId="779032656">
    <w:abstractNumId w:val="15"/>
  </w:num>
  <w:num w:numId="23" w16cid:durableId="1652369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524CD"/>
    <w:rsid w:val="0015353F"/>
    <w:rsid w:val="001546EA"/>
    <w:rsid w:val="001554E7"/>
    <w:rsid w:val="001637E5"/>
    <w:rsid w:val="00196E56"/>
    <w:rsid w:val="0019786D"/>
    <w:rsid w:val="002479DD"/>
    <w:rsid w:val="002A179B"/>
    <w:rsid w:val="002E173F"/>
    <w:rsid w:val="00315C09"/>
    <w:rsid w:val="00357DE0"/>
    <w:rsid w:val="00384C00"/>
    <w:rsid w:val="003F3444"/>
    <w:rsid w:val="00402AB6"/>
    <w:rsid w:val="00412A04"/>
    <w:rsid w:val="00417345"/>
    <w:rsid w:val="00452BAE"/>
    <w:rsid w:val="004D7222"/>
    <w:rsid w:val="004E0D1B"/>
    <w:rsid w:val="004F37DE"/>
    <w:rsid w:val="00530E52"/>
    <w:rsid w:val="005678CE"/>
    <w:rsid w:val="005E2D53"/>
    <w:rsid w:val="005E4E58"/>
    <w:rsid w:val="005F10C0"/>
    <w:rsid w:val="00623869"/>
    <w:rsid w:val="00683FBC"/>
    <w:rsid w:val="00695E32"/>
    <w:rsid w:val="006A7649"/>
    <w:rsid w:val="006B2D5F"/>
    <w:rsid w:val="006E6495"/>
    <w:rsid w:val="006F11C7"/>
    <w:rsid w:val="006F1D7B"/>
    <w:rsid w:val="006F3B8C"/>
    <w:rsid w:val="007648CD"/>
    <w:rsid w:val="00795D31"/>
    <w:rsid w:val="007B29DA"/>
    <w:rsid w:val="007C5B2B"/>
    <w:rsid w:val="00801C93"/>
    <w:rsid w:val="00883634"/>
    <w:rsid w:val="00883CB8"/>
    <w:rsid w:val="008D2638"/>
    <w:rsid w:val="009055FB"/>
    <w:rsid w:val="00942589"/>
    <w:rsid w:val="00944467"/>
    <w:rsid w:val="009662E3"/>
    <w:rsid w:val="0097778A"/>
    <w:rsid w:val="009827C9"/>
    <w:rsid w:val="009A34C5"/>
    <w:rsid w:val="009A4E4D"/>
    <w:rsid w:val="009C28B0"/>
    <w:rsid w:val="009C6C7F"/>
    <w:rsid w:val="00A21641"/>
    <w:rsid w:val="00AD3FFE"/>
    <w:rsid w:val="00B2046D"/>
    <w:rsid w:val="00B76B6A"/>
    <w:rsid w:val="00B802D2"/>
    <w:rsid w:val="00B87E51"/>
    <w:rsid w:val="00BC3D8E"/>
    <w:rsid w:val="00BC5C4C"/>
    <w:rsid w:val="00BC7C98"/>
    <w:rsid w:val="00C0182D"/>
    <w:rsid w:val="00C11EC1"/>
    <w:rsid w:val="00C611F9"/>
    <w:rsid w:val="00CF5E46"/>
    <w:rsid w:val="00D0546F"/>
    <w:rsid w:val="00D15C73"/>
    <w:rsid w:val="00D16ED5"/>
    <w:rsid w:val="00D32040"/>
    <w:rsid w:val="00D511D8"/>
    <w:rsid w:val="00DB7CF6"/>
    <w:rsid w:val="00DC4499"/>
    <w:rsid w:val="00E04D15"/>
    <w:rsid w:val="00E6281A"/>
    <w:rsid w:val="00E64520"/>
    <w:rsid w:val="00E81B12"/>
    <w:rsid w:val="00EA245E"/>
    <w:rsid w:val="00EE1EE1"/>
    <w:rsid w:val="00EE20FF"/>
    <w:rsid w:val="00EE4ECC"/>
    <w:rsid w:val="00EE7B55"/>
    <w:rsid w:val="00F20AA7"/>
    <w:rsid w:val="00F36FC4"/>
    <w:rsid w:val="00F8362D"/>
    <w:rsid w:val="00F93ED9"/>
    <w:rsid w:val="00FB18F6"/>
    <w:rsid w:val="00FD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80593507">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936867829">
      <w:bodyDiv w:val="1"/>
      <w:marLeft w:val="0"/>
      <w:marRight w:val="0"/>
      <w:marTop w:val="0"/>
      <w:marBottom w:val="0"/>
      <w:divBdr>
        <w:top w:val="none" w:sz="0" w:space="0" w:color="auto"/>
        <w:left w:val="none" w:sz="0" w:space="0" w:color="auto"/>
        <w:bottom w:val="none" w:sz="0" w:space="0" w:color="auto"/>
        <w:right w:val="none" w:sz="0" w:space="0" w:color="auto"/>
      </w:divBdr>
    </w:div>
    <w:div w:id="1103305145">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562935244">
      <w:bodyDiv w:val="1"/>
      <w:marLeft w:val="0"/>
      <w:marRight w:val="0"/>
      <w:marTop w:val="0"/>
      <w:marBottom w:val="0"/>
      <w:divBdr>
        <w:top w:val="none" w:sz="0" w:space="0" w:color="auto"/>
        <w:left w:val="none" w:sz="0" w:space="0" w:color="auto"/>
        <w:bottom w:val="none" w:sz="0" w:space="0" w:color="auto"/>
        <w:right w:val="none" w:sz="0" w:space="0" w:color="auto"/>
      </w:divBdr>
    </w:div>
    <w:div w:id="1919630968">
      <w:bodyDiv w:val="1"/>
      <w:marLeft w:val="0"/>
      <w:marRight w:val="0"/>
      <w:marTop w:val="0"/>
      <w:marBottom w:val="0"/>
      <w:divBdr>
        <w:top w:val="none" w:sz="0" w:space="0" w:color="auto"/>
        <w:left w:val="none" w:sz="0" w:space="0" w:color="auto"/>
        <w:bottom w:val="none" w:sz="0" w:space="0" w:color="auto"/>
        <w:right w:val="none" w:sz="0" w:space="0" w:color="auto"/>
      </w:divBdr>
    </w:div>
    <w:div w:id="209728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Measuring density – teacher notes</vt:lpstr>
    </vt:vector>
  </TitlesOfParts>
  <Company>Royal Society Of Chemistry</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density – teacher notes</dc:title>
  <dc:subject>TBC</dc:subject>
  <dc:creator>Royal Society of Chemistry</dc:creator>
  <cp:keywords>RSC</cp:keywords>
  <dc:description>Determine the density of seawater and tap water by measuring their relative mass and volume</dc:description>
  <cp:lastModifiedBy>Bobby Wells-Brown</cp:lastModifiedBy>
  <cp:revision>3</cp:revision>
  <cp:lastPrinted>2022-10-04T07:21:00Z</cp:lastPrinted>
  <dcterms:created xsi:type="dcterms:W3CDTF">2022-10-04T07:21:00Z</dcterms:created>
  <dcterms:modified xsi:type="dcterms:W3CDTF">2022-10-04T07:29:00Z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