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4552C" w14:textId="1C43D6BA" w:rsidR="00D511D8" w:rsidRDefault="00C4110F" w:rsidP="00D0546F">
      <w:pPr>
        <w:pStyle w:val="Heading1"/>
        <w:tabs>
          <w:tab w:val="left" w:pos="1332"/>
        </w:tabs>
      </w:pPr>
      <w:r>
        <w:t xml:space="preserve">The chemistry of thiosulfate ions </w:t>
      </w:r>
      <w:r w:rsidR="00D511D8">
        <w:t xml:space="preserve">– </w:t>
      </w:r>
      <w:r w:rsidR="00D0546F">
        <w:t>teacher notes</w:t>
      </w:r>
    </w:p>
    <w:p w14:paraId="49916568" w14:textId="14727569" w:rsidR="00D0546F" w:rsidRDefault="00D0546F" w:rsidP="00D0546F"/>
    <w:p w14:paraId="060EF319" w14:textId="6957E6C2" w:rsidR="00D0546F" w:rsidRDefault="00D0546F" w:rsidP="00D0546F">
      <w:pPr>
        <w:pStyle w:val="Heading2"/>
      </w:pPr>
      <w:r>
        <w:t>Topic</w:t>
      </w:r>
    </w:p>
    <w:p w14:paraId="66EC297C" w14:textId="516F0D44" w:rsidR="00D0546F" w:rsidRDefault="00C4110F" w:rsidP="00D0546F">
      <w:pPr>
        <w:pStyle w:val="Default"/>
      </w:pPr>
      <w:r>
        <w:t>Redox reactions; transition elements – redox reactions, catalysis, variable oxidation states.</w:t>
      </w:r>
    </w:p>
    <w:p w14:paraId="711EF8BF" w14:textId="2580EB75" w:rsidR="00D0546F" w:rsidRDefault="00D0546F" w:rsidP="00D0546F">
      <w:pPr>
        <w:pStyle w:val="Heading2"/>
      </w:pPr>
      <w:r>
        <w:t>Timing</w:t>
      </w:r>
    </w:p>
    <w:p w14:paraId="5DD5AD43" w14:textId="1B91D77A" w:rsidR="00A21641" w:rsidRPr="00A21641" w:rsidRDefault="00C4110F" w:rsidP="00A21641">
      <w:r>
        <w:t>20 minutes</w:t>
      </w:r>
    </w:p>
    <w:p w14:paraId="2A857170" w14:textId="39DA9F3C" w:rsidR="00D0546F" w:rsidRDefault="00A21641" w:rsidP="00A21641">
      <w:pPr>
        <w:pStyle w:val="Heading2"/>
      </w:pPr>
      <w:r>
        <w:t>Description</w:t>
      </w:r>
    </w:p>
    <w:p w14:paraId="4CFF3AB2" w14:textId="555D3802" w:rsidR="00C4110F" w:rsidRDefault="00C4110F" w:rsidP="00A21641">
      <w:r>
        <w:t xml:space="preserve">Sixth-form students usually encounter sodium thiosulphate in volumetric analysis where it is used as the titrant in a redox reaction with iodine: </w:t>
      </w:r>
    </w:p>
    <w:p w14:paraId="743A8EAC" w14:textId="77777777" w:rsidR="00C4110F" w:rsidRDefault="00C4110F" w:rsidP="00A21641"/>
    <w:p w14:paraId="00486B03" w14:textId="13D340CF" w:rsidR="00C4110F" w:rsidRDefault="00C4110F" w:rsidP="00A21641">
      <w:r>
        <w:t>I</w:t>
      </w:r>
      <w:r w:rsidRPr="008C2335">
        <w:rPr>
          <w:vertAlign w:val="subscript"/>
        </w:rPr>
        <w:t>2</w:t>
      </w:r>
      <w:r>
        <w:t>(s) + 2S</w:t>
      </w:r>
      <w:r w:rsidRPr="008C2335">
        <w:rPr>
          <w:vertAlign w:val="subscript"/>
        </w:rPr>
        <w:t>2</w:t>
      </w:r>
      <w:r>
        <w:t>O</w:t>
      </w:r>
      <w:r w:rsidRPr="008C2335">
        <w:rPr>
          <w:vertAlign w:val="subscript"/>
        </w:rPr>
        <w:t>3</w:t>
      </w:r>
      <w:r w:rsidRPr="008C2335">
        <w:rPr>
          <w:vertAlign w:val="superscript"/>
        </w:rPr>
        <w:t>2–</w:t>
      </w:r>
      <w:r>
        <w:t>(</w:t>
      </w:r>
      <w:proofErr w:type="spellStart"/>
      <w:r>
        <w:t>aq</w:t>
      </w:r>
      <w:proofErr w:type="spellEnd"/>
      <w:r>
        <w:t>) → S</w:t>
      </w:r>
      <w:r w:rsidRPr="008C2335">
        <w:rPr>
          <w:vertAlign w:val="subscript"/>
        </w:rPr>
        <w:t>4</w:t>
      </w:r>
      <w:r>
        <w:t>O</w:t>
      </w:r>
      <w:r w:rsidRPr="008C2335">
        <w:rPr>
          <w:vertAlign w:val="subscript"/>
        </w:rPr>
        <w:t>6</w:t>
      </w:r>
      <w:r w:rsidRPr="008C2335">
        <w:rPr>
          <w:vertAlign w:val="superscript"/>
        </w:rPr>
        <w:t>2–</w:t>
      </w:r>
      <w:r>
        <w:t>(</w:t>
      </w:r>
      <w:proofErr w:type="spellStart"/>
      <w:r>
        <w:t>aq</w:t>
      </w:r>
      <w:proofErr w:type="spellEnd"/>
      <w:r>
        <w:t>) + 2I</w:t>
      </w:r>
      <w:r w:rsidRPr="008C2335">
        <w:rPr>
          <w:vertAlign w:val="superscript"/>
        </w:rPr>
        <w:t>–</w:t>
      </w:r>
      <w:r>
        <w:t>(</w:t>
      </w:r>
      <w:proofErr w:type="spellStart"/>
      <w:r>
        <w:t>aq</w:t>
      </w:r>
      <w:proofErr w:type="spellEnd"/>
      <w:r>
        <w:t xml:space="preserve">) </w:t>
      </w:r>
    </w:p>
    <w:p w14:paraId="66152C9C" w14:textId="77777777" w:rsidR="00C4110F" w:rsidRDefault="00C4110F" w:rsidP="00A21641"/>
    <w:p w14:paraId="131B9DC9" w14:textId="753DFCB9" w:rsidR="00A21641" w:rsidRPr="00A21641" w:rsidRDefault="00C4110F" w:rsidP="00A21641">
      <w:r>
        <w:t>However, in this experiment students investigate some of the many interesting reactions of sodium thiosulphate. These reactions illustrate many important chemical principles.</w:t>
      </w:r>
    </w:p>
    <w:p w14:paraId="41311457" w14:textId="6E667520" w:rsidR="00D0546F" w:rsidRDefault="00D0546F" w:rsidP="00D0546F">
      <w:pPr>
        <w:pStyle w:val="Heading2"/>
      </w:pPr>
      <w:r>
        <w:t>Apparatus</w:t>
      </w:r>
    </w:p>
    <w:p w14:paraId="7A254F64" w14:textId="77777777" w:rsidR="00C4110F" w:rsidRPr="00C4110F" w:rsidRDefault="00C4110F" w:rsidP="00C4110F">
      <w:pPr>
        <w:pStyle w:val="ListParagraph"/>
        <w:numPr>
          <w:ilvl w:val="0"/>
          <w:numId w:val="21"/>
        </w:numPr>
      </w:pPr>
      <w:r w:rsidRPr="00C4110F">
        <w:t>Student worksheet</w:t>
      </w:r>
    </w:p>
    <w:p w14:paraId="04639695" w14:textId="77777777" w:rsidR="00C4110F" w:rsidRPr="00C4110F" w:rsidRDefault="00C4110F" w:rsidP="00C4110F">
      <w:pPr>
        <w:pStyle w:val="ListParagraph"/>
        <w:numPr>
          <w:ilvl w:val="0"/>
          <w:numId w:val="21"/>
        </w:numPr>
      </w:pPr>
      <w:r w:rsidRPr="00C4110F">
        <w:t>Clear plastic sheet (</w:t>
      </w:r>
      <w:proofErr w:type="spellStart"/>
      <w:proofErr w:type="gramStart"/>
      <w:r w:rsidRPr="00C4110F">
        <w:t>eg</w:t>
      </w:r>
      <w:proofErr w:type="spellEnd"/>
      <w:proofErr w:type="gramEnd"/>
      <w:r w:rsidRPr="00C4110F">
        <w:t xml:space="preserve"> OHP sheet)</w:t>
      </w:r>
    </w:p>
    <w:p w14:paraId="069A545C" w14:textId="69A307A4" w:rsidR="00D0546F" w:rsidRDefault="00D0546F" w:rsidP="00D0546F">
      <w:pPr>
        <w:pStyle w:val="Default"/>
        <w:rPr>
          <w:sz w:val="20"/>
          <w:szCs w:val="20"/>
        </w:rPr>
      </w:pPr>
    </w:p>
    <w:p w14:paraId="2E68FD97" w14:textId="1FE1E48B" w:rsidR="00D0546F" w:rsidRDefault="00D0546F" w:rsidP="00D0546F">
      <w:pPr>
        <w:pStyle w:val="Heading2"/>
      </w:pPr>
      <w:r>
        <w:t>Chemicals</w:t>
      </w:r>
    </w:p>
    <w:p w14:paraId="5B48038C" w14:textId="2B000A9D" w:rsidR="00C4110F" w:rsidRPr="00DA6D46" w:rsidRDefault="00C4110F" w:rsidP="00C4110F">
      <w:r w:rsidRPr="00DA6D46">
        <w:t>Solutions should be contained in plastic pipettes. See the accompanying guidance on </w:t>
      </w:r>
      <w:r w:rsidRPr="00C4110F">
        <w:t>apparatus and techniques for microscale chemistry</w:t>
      </w:r>
      <w:r w:rsidRPr="00DA6D46">
        <w:t>, which includes instructions for preparing a variety of solutions</w:t>
      </w:r>
      <w:r>
        <w:t xml:space="preserve"> here </w:t>
      </w:r>
      <w:hyperlink r:id="rId11" w:history="1">
        <w:r w:rsidRPr="00E16371">
          <w:rPr>
            <w:rStyle w:val="Hyperlink"/>
          </w:rPr>
          <w:t>https://rsc.li/3ydAQom</w:t>
        </w:r>
      </w:hyperlink>
      <w:r>
        <w:t xml:space="preserve"> </w:t>
      </w:r>
    </w:p>
    <w:p w14:paraId="380963D7" w14:textId="77777777" w:rsidR="00C4110F" w:rsidRPr="00C4110F" w:rsidRDefault="00C4110F" w:rsidP="00C4110F"/>
    <w:p w14:paraId="5B4DACB0" w14:textId="77777777" w:rsidR="00C4110F" w:rsidRPr="00C4110F" w:rsidRDefault="00C4110F" w:rsidP="00C4110F">
      <w:pPr>
        <w:pStyle w:val="ListParagraph"/>
        <w:numPr>
          <w:ilvl w:val="0"/>
          <w:numId w:val="20"/>
        </w:numPr>
      </w:pPr>
      <w:r w:rsidRPr="00C4110F">
        <w:t>Silver nitrate, 0.1 mol dm</w:t>
      </w:r>
      <w:r w:rsidRPr="00C4110F">
        <w:rPr>
          <w:vertAlign w:val="superscript"/>
        </w:rPr>
        <w:t>–3</w:t>
      </w:r>
    </w:p>
    <w:p w14:paraId="4DE6CE6D" w14:textId="77777777" w:rsidR="00C4110F" w:rsidRPr="00C4110F" w:rsidRDefault="00C4110F" w:rsidP="00C4110F">
      <w:pPr>
        <w:pStyle w:val="ListParagraph"/>
        <w:numPr>
          <w:ilvl w:val="0"/>
          <w:numId w:val="20"/>
        </w:numPr>
      </w:pPr>
      <w:r w:rsidRPr="00C4110F">
        <w:t>Sodium chloride, 0.1 mol dm</w:t>
      </w:r>
      <w:r w:rsidRPr="00C4110F">
        <w:rPr>
          <w:vertAlign w:val="superscript"/>
        </w:rPr>
        <w:t>–3</w:t>
      </w:r>
    </w:p>
    <w:p w14:paraId="2A8A1A6B" w14:textId="77777777" w:rsidR="00C4110F" w:rsidRPr="00C4110F" w:rsidRDefault="00C4110F" w:rsidP="00C4110F">
      <w:pPr>
        <w:pStyle w:val="ListParagraph"/>
        <w:numPr>
          <w:ilvl w:val="0"/>
          <w:numId w:val="20"/>
        </w:numPr>
      </w:pPr>
      <w:r w:rsidRPr="00C4110F">
        <w:t>Potassium bromide, 0.2 mol dm</w:t>
      </w:r>
      <w:r w:rsidRPr="00C4110F">
        <w:rPr>
          <w:vertAlign w:val="superscript"/>
        </w:rPr>
        <w:t>–3</w:t>
      </w:r>
    </w:p>
    <w:p w14:paraId="0F244727" w14:textId="77777777" w:rsidR="00C4110F" w:rsidRPr="00C4110F" w:rsidRDefault="00C4110F" w:rsidP="00C4110F">
      <w:pPr>
        <w:pStyle w:val="ListParagraph"/>
        <w:numPr>
          <w:ilvl w:val="0"/>
          <w:numId w:val="20"/>
        </w:numPr>
      </w:pPr>
      <w:r w:rsidRPr="00C4110F">
        <w:t>Potassium iodide, 0.2 mol dm</w:t>
      </w:r>
      <w:r w:rsidRPr="00C4110F">
        <w:rPr>
          <w:vertAlign w:val="superscript"/>
        </w:rPr>
        <w:t>–3</w:t>
      </w:r>
    </w:p>
    <w:p w14:paraId="7DCA5332" w14:textId="77777777" w:rsidR="00C4110F" w:rsidRPr="00C4110F" w:rsidRDefault="00C4110F" w:rsidP="00C4110F">
      <w:pPr>
        <w:pStyle w:val="ListParagraph"/>
        <w:numPr>
          <w:ilvl w:val="0"/>
          <w:numId w:val="20"/>
        </w:numPr>
      </w:pPr>
      <w:proofErr w:type="gramStart"/>
      <w:r w:rsidRPr="00C4110F">
        <w:t>Iron(</w:t>
      </w:r>
      <w:proofErr w:type="gramEnd"/>
      <w:r w:rsidRPr="00C4110F">
        <w:t>III) nitrate, 0.1 mol dm</w:t>
      </w:r>
      <w:r w:rsidRPr="00C4110F">
        <w:rPr>
          <w:vertAlign w:val="superscript"/>
        </w:rPr>
        <w:t>–3</w:t>
      </w:r>
    </w:p>
    <w:p w14:paraId="55E68F90" w14:textId="77777777" w:rsidR="00C4110F" w:rsidRPr="00C4110F" w:rsidRDefault="00C4110F" w:rsidP="00C4110F">
      <w:pPr>
        <w:pStyle w:val="ListParagraph"/>
        <w:numPr>
          <w:ilvl w:val="0"/>
          <w:numId w:val="20"/>
        </w:numPr>
      </w:pPr>
      <w:proofErr w:type="gramStart"/>
      <w:r w:rsidRPr="00C4110F">
        <w:t>Copper(</w:t>
      </w:r>
      <w:proofErr w:type="gramEnd"/>
      <w:r w:rsidRPr="00C4110F">
        <w:t xml:space="preserve">II) </w:t>
      </w:r>
      <w:proofErr w:type="spellStart"/>
      <w:r w:rsidRPr="00C4110F">
        <w:t>sulfate</w:t>
      </w:r>
      <w:proofErr w:type="spellEnd"/>
      <w:r w:rsidRPr="00C4110F">
        <w:t>, 0.2 mol dm</w:t>
      </w:r>
      <w:r w:rsidRPr="00C4110F">
        <w:rPr>
          <w:vertAlign w:val="superscript"/>
        </w:rPr>
        <w:t>–3</w:t>
      </w:r>
    </w:p>
    <w:p w14:paraId="091E5E75" w14:textId="77777777" w:rsidR="00C4110F" w:rsidRPr="00C4110F" w:rsidRDefault="00C4110F" w:rsidP="00C4110F">
      <w:pPr>
        <w:pStyle w:val="ListParagraph"/>
        <w:numPr>
          <w:ilvl w:val="0"/>
          <w:numId w:val="20"/>
        </w:numPr>
      </w:pPr>
      <w:r w:rsidRPr="00C4110F">
        <w:t>Iodine solution, 0.05 mol dm</w:t>
      </w:r>
      <w:r w:rsidRPr="00C4110F">
        <w:rPr>
          <w:vertAlign w:val="superscript"/>
        </w:rPr>
        <w:t>–3</w:t>
      </w:r>
      <w:r w:rsidRPr="00C4110F">
        <w:t> in 0.2 mol dm</w:t>
      </w:r>
      <w:r w:rsidRPr="00C4110F">
        <w:rPr>
          <w:vertAlign w:val="superscript"/>
        </w:rPr>
        <w:t>–3</w:t>
      </w:r>
      <w:r w:rsidRPr="00C4110F">
        <w:t> KI.</w:t>
      </w:r>
    </w:p>
    <w:p w14:paraId="522838EB" w14:textId="77777777" w:rsidR="004E0D1B" w:rsidRDefault="004E0D1B" w:rsidP="00F8362D"/>
    <w:p w14:paraId="0C2D18E1" w14:textId="18008058" w:rsidR="00D0546F" w:rsidRPr="00D0546F" w:rsidRDefault="004E0D1B" w:rsidP="004E0D1B">
      <w:pPr>
        <w:pStyle w:val="Heading2"/>
      </w:pPr>
      <w:r>
        <w:t>Observations</w:t>
      </w:r>
    </w:p>
    <w:p w14:paraId="511CD500" w14:textId="77777777" w:rsidR="00C4110F" w:rsidRPr="00C4110F" w:rsidRDefault="00C4110F" w:rsidP="00C4110F">
      <w:pPr>
        <w:pStyle w:val="Heading3"/>
      </w:pPr>
      <w:r w:rsidRPr="00C4110F">
        <w:t>Part A</w:t>
      </w:r>
    </w:p>
    <w:p w14:paraId="5A242F73" w14:textId="77777777" w:rsidR="00C4110F" w:rsidRPr="00C4110F" w:rsidRDefault="00C4110F" w:rsidP="00C4110F">
      <w:r w:rsidRPr="00C4110F">
        <w:t>The brown colour of iodine is discharged as it is reduced by thiosulphate ions:</w:t>
      </w:r>
    </w:p>
    <w:p w14:paraId="393D2F70" w14:textId="739AC0B9" w:rsidR="00C4110F" w:rsidRDefault="00C4110F" w:rsidP="00C4110F">
      <w:r w:rsidRPr="00C4110F">
        <w:t>I</w:t>
      </w:r>
      <w:r w:rsidRPr="00C4110F">
        <w:rPr>
          <w:vertAlign w:val="subscript"/>
        </w:rPr>
        <w:t>2</w:t>
      </w:r>
      <w:r w:rsidRPr="00C4110F">
        <w:t>(</w:t>
      </w:r>
      <w:proofErr w:type="spellStart"/>
      <w:r w:rsidRPr="00C4110F">
        <w:t>aq</w:t>
      </w:r>
      <w:proofErr w:type="spellEnd"/>
      <w:r w:rsidRPr="00C4110F">
        <w:t>) + S</w:t>
      </w:r>
      <w:r w:rsidRPr="00C4110F">
        <w:rPr>
          <w:vertAlign w:val="subscript"/>
        </w:rPr>
        <w:t>2</w:t>
      </w:r>
      <w:r w:rsidRPr="00C4110F">
        <w:t>O</w:t>
      </w:r>
      <w:r w:rsidRPr="00C4110F">
        <w:rPr>
          <w:vertAlign w:val="subscript"/>
        </w:rPr>
        <w:t>3</w:t>
      </w:r>
      <w:r w:rsidRPr="00C4110F">
        <w:rPr>
          <w:vertAlign w:val="superscript"/>
        </w:rPr>
        <w:t>2–</w:t>
      </w:r>
      <w:r w:rsidRPr="00C4110F">
        <w:t>(</w:t>
      </w:r>
      <w:proofErr w:type="spellStart"/>
      <w:r w:rsidRPr="00C4110F">
        <w:t>aq</w:t>
      </w:r>
      <w:proofErr w:type="spellEnd"/>
      <w:r w:rsidRPr="00C4110F">
        <w:t>) → 2I–(</w:t>
      </w:r>
      <w:proofErr w:type="spellStart"/>
      <w:r w:rsidRPr="00C4110F">
        <w:t>aq</w:t>
      </w:r>
      <w:proofErr w:type="spellEnd"/>
      <w:r w:rsidRPr="00C4110F">
        <w:t>) + S</w:t>
      </w:r>
      <w:r w:rsidRPr="00C4110F">
        <w:rPr>
          <w:vertAlign w:val="subscript"/>
        </w:rPr>
        <w:t>4</w:t>
      </w:r>
      <w:r w:rsidRPr="00C4110F">
        <w:t>O</w:t>
      </w:r>
      <w:r w:rsidRPr="00C4110F">
        <w:rPr>
          <w:vertAlign w:val="subscript"/>
        </w:rPr>
        <w:t>6</w:t>
      </w:r>
      <w:r w:rsidRPr="00C4110F">
        <w:rPr>
          <w:vertAlign w:val="superscript"/>
        </w:rPr>
        <w:t>2–</w:t>
      </w:r>
      <w:r w:rsidRPr="00C4110F">
        <w:t>(</w:t>
      </w:r>
      <w:proofErr w:type="spellStart"/>
      <w:r w:rsidRPr="00C4110F">
        <w:t>aq</w:t>
      </w:r>
      <w:proofErr w:type="spellEnd"/>
      <w:r w:rsidRPr="00C4110F">
        <w:t>)</w:t>
      </w:r>
    </w:p>
    <w:p w14:paraId="12E0609C" w14:textId="77777777" w:rsidR="00C4110F" w:rsidRPr="00C4110F" w:rsidRDefault="00C4110F" w:rsidP="00C4110F"/>
    <w:p w14:paraId="7B519B4C" w14:textId="77777777" w:rsidR="00C4110F" w:rsidRPr="00C4110F" w:rsidRDefault="00C4110F" w:rsidP="00C4110F">
      <w:pPr>
        <w:pStyle w:val="Heading3"/>
      </w:pPr>
      <w:r w:rsidRPr="00C4110F">
        <w:t>Part B</w:t>
      </w:r>
    </w:p>
    <w:p w14:paraId="04BFBAFC" w14:textId="6D0C641D" w:rsidR="00C4110F" w:rsidRDefault="00C4110F" w:rsidP="00C4110F">
      <w:r w:rsidRPr="00C4110F">
        <w:t>The addition of halide ions to the silver nitrate solution produces precipitates of the silver halides – pale yellow (silver bromide) and deeper yellow (silver iodide). Silver bromide dissolves readily in sodium thiosulphate solution, whereas silver iodide is less soluble. This could be used as a test to distinguish a bromide from an iodide.</w:t>
      </w:r>
    </w:p>
    <w:p w14:paraId="0F6996A3" w14:textId="77777777" w:rsidR="00127B3E" w:rsidRDefault="00127B3E" w:rsidP="00C4110F"/>
    <w:p w14:paraId="5FBBBC28" w14:textId="77777777" w:rsidR="00C4110F" w:rsidRPr="00C4110F" w:rsidRDefault="00C4110F" w:rsidP="00C4110F"/>
    <w:p w14:paraId="4A74F923" w14:textId="77777777" w:rsidR="00C4110F" w:rsidRPr="00C4110F" w:rsidRDefault="00C4110F" w:rsidP="00C4110F">
      <w:r w:rsidRPr="00C4110F">
        <w:lastRenderedPageBreak/>
        <w:t>Ag+(</w:t>
      </w:r>
      <w:proofErr w:type="spellStart"/>
      <w:r w:rsidRPr="00C4110F">
        <w:t>aq</w:t>
      </w:r>
      <w:proofErr w:type="spellEnd"/>
      <w:r w:rsidRPr="00C4110F">
        <w:t>) + X- (</w:t>
      </w:r>
      <w:proofErr w:type="spellStart"/>
      <w:r w:rsidRPr="00C4110F">
        <w:t>aq</w:t>
      </w:r>
      <w:proofErr w:type="spellEnd"/>
      <w:r w:rsidRPr="00C4110F">
        <w:t xml:space="preserve">) → </w:t>
      </w:r>
      <w:proofErr w:type="spellStart"/>
      <w:r w:rsidRPr="00C4110F">
        <w:t>AgX</w:t>
      </w:r>
      <w:proofErr w:type="spellEnd"/>
      <w:r w:rsidRPr="00C4110F">
        <w:t>(s)</w:t>
      </w:r>
    </w:p>
    <w:p w14:paraId="04869846" w14:textId="77777777" w:rsidR="00C4110F" w:rsidRPr="00C4110F" w:rsidRDefault="00C4110F" w:rsidP="00C4110F">
      <w:r w:rsidRPr="00C4110F">
        <w:t>Silver       Halide      Silver</w:t>
      </w:r>
    </w:p>
    <w:p w14:paraId="3A8C5FC4" w14:textId="402E38C0" w:rsidR="00C4110F" w:rsidRDefault="00C4110F" w:rsidP="00C4110F">
      <w:r w:rsidRPr="00C4110F">
        <w:t>Ion           Ion           Halide</w:t>
      </w:r>
    </w:p>
    <w:p w14:paraId="4843FF02" w14:textId="77777777" w:rsidR="00C4110F" w:rsidRPr="00C4110F" w:rsidRDefault="00C4110F" w:rsidP="00C4110F"/>
    <w:p w14:paraId="3642ADBB" w14:textId="7083A333" w:rsidR="00C4110F" w:rsidRDefault="00C4110F" w:rsidP="00C4110F">
      <w:r w:rsidRPr="00C4110F">
        <w:t>The dissolution of silver bromide in thiosulfate solution is used in the fixing stage in photographic developing. Here, thiosulfate is used to dissolve unreacted silver bromide through the formation of soluble complexes such as Ag(S</w:t>
      </w:r>
      <w:r w:rsidRPr="00C4110F">
        <w:rPr>
          <w:vertAlign w:val="subscript"/>
        </w:rPr>
        <w:t>2</w:t>
      </w:r>
      <w:r w:rsidRPr="00C4110F">
        <w:t>O</w:t>
      </w:r>
      <w:r w:rsidRPr="00C4110F">
        <w:rPr>
          <w:vertAlign w:val="subscript"/>
        </w:rPr>
        <w:t>3</w:t>
      </w:r>
      <w:r w:rsidRPr="00C4110F">
        <w:t>)</w:t>
      </w:r>
      <w:r w:rsidRPr="00C4110F">
        <w:rPr>
          <w:vertAlign w:val="subscript"/>
        </w:rPr>
        <w:t>2</w:t>
      </w:r>
      <w:r w:rsidRPr="00C4110F">
        <w:rPr>
          <w:vertAlign w:val="superscript"/>
        </w:rPr>
        <w:t>3–</w:t>
      </w:r>
      <w:r w:rsidRPr="00C4110F">
        <w:t>(</w:t>
      </w:r>
      <w:proofErr w:type="spellStart"/>
      <w:r w:rsidRPr="00C4110F">
        <w:t>aq</w:t>
      </w:r>
      <w:proofErr w:type="spellEnd"/>
      <w:r w:rsidRPr="00C4110F">
        <w:t>).</w:t>
      </w:r>
    </w:p>
    <w:p w14:paraId="0518D49E" w14:textId="77777777" w:rsidR="00C4110F" w:rsidRPr="00C4110F" w:rsidRDefault="00C4110F" w:rsidP="00C4110F"/>
    <w:p w14:paraId="370FBC5F" w14:textId="77777777" w:rsidR="00C4110F" w:rsidRPr="00C4110F" w:rsidRDefault="00C4110F" w:rsidP="00C4110F">
      <w:pPr>
        <w:pStyle w:val="Heading3"/>
      </w:pPr>
      <w:r w:rsidRPr="00C4110F">
        <w:t>Part C</w:t>
      </w:r>
    </w:p>
    <w:p w14:paraId="4ECA9C3C" w14:textId="77777777" w:rsidR="00C4110F" w:rsidRDefault="00C4110F" w:rsidP="00C4110F">
      <w:r w:rsidRPr="00C4110F">
        <w:t xml:space="preserve">The reaction of </w:t>
      </w:r>
      <w:proofErr w:type="gramStart"/>
      <w:r w:rsidRPr="00C4110F">
        <w:t>iron(</w:t>
      </w:r>
      <w:proofErr w:type="gramEnd"/>
      <w:r w:rsidRPr="00C4110F">
        <w:t>III) with thiosulfate produces a deep violet complex anion, Fe(S2O3)2–</w:t>
      </w:r>
    </w:p>
    <w:p w14:paraId="71BA4F64" w14:textId="4DD87F84" w:rsidR="00C4110F" w:rsidRDefault="00C4110F" w:rsidP="00C4110F">
      <w:r w:rsidRPr="00C4110F">
        <w:t>This decomposes slowly with the fading of the violet colour:</w:t>
      </w:r>
    </w:p>
    <w:p w14:paraId="05A0BD01" w14:textId="77777777" w:rsidR="00C4110F" w:rsidRPr="00C4110F" w:rsidRDefault="00C4110F" w:rsidP="00C4110F"/>
    <w:p w14:paraId="1384A917" w14:textId="4155B56A" w:rsidR="00C4110F" w:rsidRDefault="00C4110F" w:rsidP="00C4110F">
      <w:r w:rsidRPr="00C4110F">
        <w:t>Fe(S</w:t>
      </w:r>
      <w:r w:rsidRPr="00C4110F">
        <w:rPr>
          <w:vertAlign w:val="subscript"/>
        </w:rPr>
        <w:t>2</w:t>
      </w:r>
      <w:r w:rsidRPr="00C4110F">
        <w:t>O</w:t>
      </w:r>
      <w:r w:rsidRPr="00C4110F">
        <w:rPr>
          <w:vertAlign w:val="subscript"/>
        </w:rPr>
        <w:t>3</w:t>
      </w:r>
      <w:r w:rsidRPr="00C4110F">
        <w:t>)</w:t>
      </w:r>
      <w:r w:rsidRPr="00C4110F">
        <w:rPr>
          <w:vertAlign w:val="subscript"/>
        </w:rPr>
        <w:t>2</w:t>
      </w:r>
      <w:r w:rsidRPr="008C2335">
        <w:rPr>
          <w:vertAlign w:val="superscript"/>
        </w:rPr>
        <w:t>–</w:t>
      </w:r>
      <w:r w:rsidRPr="00C4110F">
        <w:t>(</w:t>
      </w:r>
      <w:proofErr w:type="spellStart"/>
      <w:r w:rsidRPr="00C4110F">
        <w:t>aq</w:t>
      </w:r>
      <w:proofErr w:type="spellEnd"/>
      <w:r w:rsidRPr="00C4110F">
        <w:t>) + Fe</w:t>
      </w:r>
      <w:r w:rsidRPr="00C4110F">
        <w:rPr>
          <w:vertAlign w:val="superscript"/>
        </w:rPr>
        <w:t>3+</w:t>
      </w:r>
      <w:r w:rsidRPr="00C4110F">
        <w:t>(</w:t>
      </w:r>
      <w:proofErr w:type="spellStart"/>
      <w:r w:rsidRPr="00C4110F">
        <w:t>aq</w:t>
      </w:r>
      <w:proofErr w:type="spellEnd"/>
      <w:r w:rsidRPr="00C4110F">
        <w:t>) → 2Fe</w:t>
      </w:r>
      <w:r w:rsidRPr="00C4110F">
        <w:rPr>
          <w:vertAlign w:val="superscript"/>
        </w:rPr>
        <w:t>2+</w:t>
      </w:r>
      <w:r w:rsidRPr="00C4110F">
        <w:t>(</w:t>
      </w:r>
      <w:proofErr w:type="spellStart"/>
      <w:r w:rsidRPr="00C4110F">
        <w:t>aq</w:t>
      </w:r>
      <w:proofErr w:type="spellEnd"/>
      <w:r w:rsidRPr="00C4110F">
        <w:t>) + S</w:t>
      </w:r>
      <w:r w:rsidRPr="00C4110F">
        <w:rPr>
          <w:vertAlign w:val="subscript"/>
        </w:rPr>
        <w:t>4</w:t>
      </w:r>
      <w:r w:rsidRPr="00C4110F">
        <w:t>O</w:t>
      </w:r>
      <w:r w:rsidRPr="00C4110F">
        <w:rPr>
          <w:vertAlign w:val="subscript"/>
        </w:rPr>
        <w:t>6</w:t>
      </w:r>
      <w:r w:rsidRPr="00C4110F">
        <w:rPr>
          <w:vertAlign w:val="superscript"/>
        </w:rPr>
        <w:t>2–</w:t>
      </w:r>
      <w:r w:rsidRPr="00C4110F">
        <w:t>(</w:t>
      </w:r>
      <w:proofErr w:type="spellStart"/>
      <w:r w:rsidRPr="00C4110F">
        <w:t>aq</w:t>
      </w:r>
      <w:proofErr w:type="spellEnd"/>
      <w:r w:rsidRPr="00C4110F">
        <w:t>)</w:t>
      </w:r>
    </w:p>
    <w:p w14:paraId="7032EAA1" w14:textId="77777777" w:rsidR="00C4110F" w:rsidRPr="00C4110F" w:rsidRDefault="00C4110F" w:rsidP="00C4110F"/>
    <w:p w14:paraId="63579146" w14:textId="6C60167A" w:rsidR="00C4110F" w:rsidRDefault="00C4110F" w:rsidP="00C4110F">
      <w:r w:rsidRPr="00C4110F">
        <w:t xml:space="preserve">The presence of </w:t>
      </w:r>
      <w:proofErr w:type="gramStart"/>
      <w:r w:rsidRPr="00C4110F">
        <w:t>copper(</w:t>
      </w:r>
      <w:proofErr w:type="gramEnd"/>
      <w:r w:rsidRPr="00C4110F">
        <w:t>II) ions catalyses the decomposition reaction, and the violet colour fades more rapidly.</w:t>
      </w:r>
    </w:p>
    <w:p w14:paraId="3D4B3E22" w14:textId="77777777" w:rsidR="00C4110F" w:rsidRPr="00C4110F" w:rsidRDefault="00C4110F" w:rsidP="00C4110F"/>
    <w:p w14:paraId="316D13EE" w14:textId="0A9B62EA" w:rsidR="00C4110F" w:rsidRDefault="00C4110F" w:rsidP="00C4110F">
      <w:r w:rsidRPr="00C4110F">
        <w:t xml:space="preserve">Thiosulfate reduces </w:t>
      </w:r>
      <w:proofErr w:type="gramStart"/>
      <w:r w:rsidRPr="00C4110F">
        <w:t>Cu(</w:t>
      </w:r>
      <w:proofErr w:type="gramEnd"/>
      <w:r w:rsidRPr="00C4110F">
        <w:t>II) to Cu(I) and complexes the Cu(I):</w:t>
      </w:r>
    </w:p>
    <w:p w14:paraId="062E6634" w14:textId="77777777" w:rsidR="00C4110F" w:rsidRPr="00C4110F" w:rsidRDefault="00C4110F" w:rsidP="00C4110F"/>
    <w:p w14:paraId="40A261B6" w14:textId="77777777" w:rsidR="00C4110F" w:rsidRPr="00C4110F" w:rsidRDefault="00C4110F" w:rsidP="00C4110F">
      <w:r w:rsidRPr="00C4110F">
        <w:t>2S</w:t>
      </w:r>
      <w:r w:rsidRPr="00C4110F">
        <w:rPr>
          <w:vertAlign w:val="subscript"/>
        </w:rPr>
        <w:t>2</w:t>
      </w:r>
      <w:r w:rsidRPr="00C4110F">
        <w:t>O</w:t>
      </w:r>
      <w:r w:rsidRPr="00C4110F">
        <w:rPr>
          <w:vertAlign w:val="subscript"/>
        </w:rPr>
        <w:t>3</w:t>
      </w:r>
      <w:r w:rsidRPr="00C4110F">
        <w:rPr>
          <w:vertAlign w:val="superscript"/>
        </w:rPr>
        <w:t>2–</w:t>
      </w:r>
      <w:r w:rsidRPr="00C4110F">
        <w:t> + 2Cu</w:t>
      </w:r>
      <w:r w:rsidRPr="00C4110F">
        <w:rPr>
          <w:vertAlign w:val="superscript"/>
        </w:rPr>
        <w:t>2+</w:t>
      </w:r>
      <w:r w:rsidRPr="00C4110F">
        <w:t>(</w:t>
      </w:r>
      <w:proofErr w:type="spellStart"/>
      <w:r w:rsidRPr="00C4110F">
        <w:t>aq</w:t>
      </w:r>
      <w:proofErr w:type="spellEnd"/>
      <w:r w:rsidRPr="00C4110F">
        <w:t>) → 2Cu</w:t>
      </w:r>
      <w:r w:rsidRPr="00C4110F">
        <w:rPr>
          <w:vertAlign w:val="superscript"/>
        </w:rPr>
        <w:t>+</w:t>
      </w:r>
      <w:r w:rsidRPr="00C4110F">
        <w:t>(</w:t>
      </w:r>
      <w:proofErr w:type="spellStart"/>
      <w:r w:rsidRPr="00C4110F">
        <w:t>aq</w:t>
      </w:r>
      <w:proofErr w:type="spellEnd"/>
      <w:r w:rsidRPr="00C4110F">
        <w:t>) + S</w:t>
      </w:r>
      <w:r w:rsidRPr="00C4110F">
        <w:rPr>
          <w:vertAlign w:val="subscript"/>
        </w:rPr>
        <w:t>4</w:t>
      </w:r>
      <w:r w:rsidRPr="00C4110F">
        <w:t>O</w:t>
      </w:r>
      <w:r w:rsidRPr="00C4110F">
        <w:rPr>
          <w:vertAlign w:val="subscript"/>
        </w:rPr>
        <w:t>6</w:t>
      </w:r>
      <w:r w:rsidRPr="00C4110F">
        <w:rPr>
          <w:vertAlign w:val="superscript"/>
        </w:rPr>
        <w:t>2–</w:t>
      </w:r>
      <w:r w:rsidRPr="00C4110F">
        <w:t>(</w:t>
      </w:r>
      <w:proofErr w:type="spellStart"/>
      <w:r w:rsidRPr="00C4110F">
        <w:t>aq</w:t>
      </w:r>
      <w:proofErr w:type="spellEnd"/>
      <w:r w:rsidRPr="00C4110F">
        <w:t>)</w:t>
      </w:r>
    </w:p>
    <w:p w14:paraId="308B4B33" w14:textId="3D139F66" w:rsidR="00C4110F" w:rsidRDefault="00C4110F" w:rsidP="00C4110F">
      <w:r w:rsidRPr="00C4110F">
        <w:t>2Cu</w:t>
      </w:r>
      <w:r w:rsidRPr="00C4110F">
        <w:rPr>
          <w:vertAlign w:val="superscript"/>
        </w:rPr>
        <w:t>+</w:t>
      </w:r>
      <w:r w:rsidRPr="00C4110F">
        <w:t>(</w:t>
      </w:r>
      <w:proofErr w:type="spellStart"/>
      <w:r w:rsidRPr="00C4110F">
        <w:t>aq</w:t>
      </w:r>
      <w:proofErr w:type="spellEnd"/>
      <w:r w:rsidRPr="00C4110F">
        <w:t>) + 2S</w:t>
      </w:r>
      <w:r w:rsidRPr="00C4110F">
        <w:rPr>
          <w:vertAlign w:val="subscript"/>
        </w:rPr>
        <w:t>2</w:t>
      </w:r>
      <w:r w:rsidRPr="00C4110F">
        <w:t>O</w:t>
      </w:r>
      <w:r w:rsidRPr="00C4110F">
        <w:rPr>
          <w:vertAlign w:val="subscript"/>
        </w:rPr>
        <w:t>3</w:t>
      </w:r>
      <w:r w:rsidRPr="00C4110F">
        <w:rPr>
          <w:vertAlign w:val="superscript"/>
        </w:rPr>
        <w:t>2–</w:t>
      </w:r>
      <w:r w:rsidRPr="00C4110F">
        <w:t> → Cu</w:t>
      </w:r>
      <w:r w:rsidRPr="00C4110F">
        <w:rPr>
          <w:vertAlign w:val="subscript"/>
        </w:rPr>
        <w:t>2</w:t>
      </w:r>
      <w:r w:rsidRPr="00C4110F">
        <w:t>(S</w:t>
      </w:r>
      <w:r w:rsidRPr="00C4110F">
        <w:rPr>
          <w:vertAlign w:val="subscript"/>
        </w:rPr>
        <w:t>2</w:t>
      </w:r>
      <w:r w:rsidRPr="00C4110F">
        <w:t>O</w:t>
      </w:r>
      <w:r w:rsidRPr="00C4110F">
        <w:rPr>
          <w:vertAlign w:val="subscript"/>
        </w:rPr>
        <w:t>3</w:t>
      </w:r>
      <w:r w:rsidRPr="00C4110F">
        <w:t>)</w:t>
      </w:r>
      <w:r w:rsidRPr="00C4110F">
        <w:rPr>
          <w:vertAlign w:val="subscript"/>
        </w:rPr>
        <w:t>2</w:t>
      </w:r>
      <w:r w:rsidRPr="00C4110F">
        <w:rPr>
          <w:vertAlign w:val="superscript"/>
        </w:rPr>
        <w:t>2–</w:t>
      </w:r>
      <w:r w:rsidRPr="00C4110F">
        <w:t>(</w:t>
      </w:r>
      <w:proofErr w:type="spellStart"/>
      <w:r w:rsidRPr="00C4110F">
        <w:t>aq</w:t>
      </w:r>
      <w:proofErr w:type="spellEnd"/>
      <w:r w:rsidRPr="00C4110F">
        <w:t>)</w:t>
      </w:r>
    </w:p>
    <w:p w14:paraId="34D6E2F9" w14:textId="77777777" w:rsidR="00C4110F" w:rsidRPr="00C4110F" w:rsidRDefault="00C4110F" w:rsidP="00C4110F"/>
    <w:p w14:paraId="30454DD1" w14:textId="5559DA51" w:rsidR="005678CE" w:rsidRPr="00C4110F" w:rsidRDefault="00C4110F" w:rsidP="00C4110F">
      <w:r w:rsidRPr="00C4110F">
        <w:t xml:space="preserve">The characteristic blue colour of </w:t>
      </w:r>
      <w:proofErr w:type="gramStart"/>
      <w:r w:rsidRPr="00C4110F">
        <w:t>copper(</w:t>
      </w:r>
      <w:proofErr w:type="gramEnd"/>
      <w:r w:rsidRPr="00C4110F">
        <w:t>II) fades, leaving a colourless solution containing the complex ion Cu</w:t>
      </w:r>
      <w:r w:rsidRPr="00C4110F">
        <w:rPr>
          <w:vertAlign w:val="subscript"/>
        </w:rPr>
        <w:t>2</w:t>
      </w:r>
      <w:r w:rsidRPr="00C4110F">
        <w:t>(S</w:t>
      </w:r>
      <w:r w:rsidRPr="00C4110F">
        <w:rPr>
          <w:vertAlign w:val="subscript"/>
        </w:rPr>
        <w:t>2</w:t>
      </w:r>
      <w:r w:rsidRPr="00C4110F">
        <w:t>O</w:t>
      </w:r>
      <w:r w:rsidRPr="00C4110F">
        <w:rPr>
          <w:vertAlign w:val="subscript"/>
        </w:rPr>
        <w:t>3</w:t>
      </w:r>
      <w:r w:rsidRPr="00C4110F">
        <w:t>)</w:t>
      </w:r>
      <w:r w:rsidRPr="00C4110F">
        <w:rPr>
          <w:vertAlign w:val="subscript"/>
        </w:rPr>
        <w:t>2</w:t>
      </w:r>
      <w:r w:rsidRPr="00C4110F">
        <w:rPr>
          <w:vertAlign w:val="superscript"/>
        </w:rPr>
        <w:t>2–</w:t>
      </w:r>
      <w:r w:rsidRPr="00C4110F">
        <w:t>(</w:t>
      </w:r>
      <w:proofErr w:type="spellStart"/>
      <w:r w:rsidRPr="00C4110F">
        <w:t>aq</w:t>
      </w:r>
      <w:proofErr w:type="spellEnd"/>
      <w:r w:rsidRPr="00C4110F">
        <w:t>).</w:t>
      </w:r>
    </w:p>
    <w:p w14:paraId="66FD10F0" w14:textId="157FB256" w:rsidR="008C2335" w:rsidRPr="008C2335" w:rsidRDefault="00D511D8" w:rsidP="008C2335">
      <w:pPr>
        <w:pStyle w:val="Heading2"/>
      </w:pPr>
      <w:r>
        <w:t>Health</w:t>
      </w:r>
      <w:r w:rsidR="00D0546F">
        <w:t xml:space="preserve">, </w:t>
      </w:r>
      <w:proofErr w:type="gramStart"/>
      <w:r>
        <w:t>safety</w:t>
      </w:r>
      <w:proofErr w:type="gramEnd"/>
      <w:r w:rsidR="00D0546F">
        <w:t xml:space="preserve"> and technical notes</w:t>
      </w:r>
    </w:p>
    <w:p w14:paraId="39AEB31D" w14:textId="58FFFA6B" w:rsidR="008C2335" w:rsidRDefault="008C2335" w:rsidP="008C2335">
      <w:pPr>
        <w:pStyle w:val="ListParagraph"/>
        <w:numPr>
          <w:ilvl w:val="0"/>
          <w:numId w:val="23"/>
        </w:numPr>
      </w:pPr>
      <w:r>
        <w:t xml:space="preserve">Read our standard health and safety guidance here </w:t>
      </w:r>
      <w:hyperlink r:id="rId12" w:history="1">
        <w:r w:rsidRPr="00D75C7F">
          <w:rPr>
            <w:rStyle w:val="Hyperlink"/>
          </w:rPr>
          <w:t>https://rsc.li/3SWS6q5</w:t>
        </w:r>
      </w:hyperlink>
      <w:r>
        <w:t xml:space="preserve"> </w:t>
      </w:r>
    </w:p>
    <w:p w14:paraId="50558D63" w14:textId="5EE95D57" w:rsidR="00C4110F" w:rsidRPr="00C4110F" w:rsidRDefault="00C4110F" w:rsidP="00C4110F">
      <w:pPr>
        <w:pStyle w:val="ListParagraph"/>
        <w:numPr>
          <w:ilvl w:val="0"/>
          <w:numId w:val="23"/>
        </w:numPr>
      </w:pPr>
      <w:r w:rsidRPr="00C4110F">
        <w:t>Wear eye protection for part B and splash resistant goggles to BS EN166 3 for part C.</w:t>
      </w:r>
    </w:p>
    <w:p w14:paraId="7D1DE760" w14:textId="77777777" w:rsidR="00C4110F" w:rsidRPr="00C4110F" w:rsidRDefault="00C4110F" w:rsidP="00C4110F">
      <w:pPr>
        <w:pStyle w:val="ListParagraph"/>
        <w:numPr>
          <w:ilvl w:val="0"/>
          <w:numId w:val="23"/>
        </w:numPr>
      </w:pPr>
      <w:r w:rsidRPr="00C4110F">
        <w:t>Silver nitrate, AgNO3(</w:t>
      </w:r>
      <w:proofErr w:type="spellStart"/>
      <w:r w:rsidRPr="00C4110F">
        <w:t>aq</w:t>
      </w:r>
      <w:proofErr w:type="spellEnd"/>
      <w:r w:rsidRPr="00C4110F">
        <w:t>), 0.1 mol dm</w:t>
      </w:r>
      <w:r w:rsidRPr="00C4110F">
        <w:rPr>
          <w:vertAlign w:val="superscript"/>
        </w:rPr>
        <w:t>–3</w:t>
      </w:r>
      <w:r w:rsidRPr="00C4110F">
        <w:t xml:space="preserve"> is an eye irritant (see CLEAPSS </w:t>
      </w:r>
      <w:proofErr w:type="spellStart"/>
      <w:r w:rsidRPr="00C4110F">
        <w:t>Hazcard</w:t>
      </w:r>
      <w:proofErr w:type="spellEnd"/>
      <w:r w:rsidRPr="00C4110F">
        <w:t> </w:t>
      </w:r>
      <w:hyperlink r:id="rId13" w:history="1">
        <w:r w:rsidRPr="00C4110F">
          <w:rPr>
            <w:rStyle w:val="Hyperlink"/>
          </w:rPr>
          <w:t>HC087</w:t>
        </w:r>
      </w:hyperlink>
      <w:r w:rsidRPr="00C4110F">
        <w:t>). Keep separate from organic waste containers.</w:t>
      </w:r>
    </w:p>
    <w:p w14:paraId="7F425AF6" w14:textId="77777777" w:rsidR="00C4110F" w:rsidRPr="00C4110F" w:rsidRDefault="00C4110F" w:rsidP="00C4110F">
      <w:pPr>
        <w:pStyle w:val="ListParagraph"/>
        <w:numPr>
          <w:ilvl w:val="0"/>
          <w:numId w:val="23"/>
        </w:numPr>
      </w:pPr>
      <w:r w:rsidRPr="00C4110F">
        <w:t xml:space="preserve">Copper(II) </w:t>
      </w:r>
      <w:proofErr w:type="spellStart"/>
      <w:r w:rsidRPr="00C4110F">
        <w:t>sulfate</w:t>
      </w:r>
      <w:proofErr w:type="spellEnd"/>
      <w:r w:rsidRPr="00C4110F">
        <w:t xml:space="preserve"> 0.2 mol dm</w:t>
      </w:r>
      <w:r w:rsidRPr="00C4110F">
        <w:rPr>
          <w:vertAlign w:val="superscript"/>
        </w:rPr>
        <w:t>–3</w:t>
      </w:r>
      <w:r w:rsidRPr="00C4110F">
        <w:t xml:space="preserve"> causes eye damage and is toxic to aquatic life (see CLEAPSS </w:t>
      </w:r>
      <w:proofErr w:type="spellStart"/>
      <w:r w:rsidRPr="00C4110F">
        <w:t>Hazcard</w:t>
      </w:r>
      <w:proofErr w:type="spellEnd"/>
      <w:r w:rsidRPr="00C4110F">
        <w:t> </w:t>
      </w:r>
      <w:hyperlink r:id="rId14" w:history="1">
        <w:r w:rsidRPr="00C4110F">
          <w:rPr>
            <w:rStyle w:val="Hyperlink"/>
          </w:rPr>
          <w:t>HC027c</w:t>
        </w:r>
      </w:hyperlink>
      <w:r w:rsidRPr="00C4110F">
        <w:t>).</w:t>
      </w:r>
    </w:p>
    <w:p w14:paraId="243EB354" w14:textId="5878DA56" w:rsidR="00D0546F" w:rsidRDefault="00C4110F" w:rsidP="00C4110F">
      <w:pPr>
        <w:pStyle w:val="ListParagraph"/>
        <w:numPr>
          <w:ilvl w:val="0"/>
          <w:numId w:val="23"/>
        </w:numPr>
      </w:pPr>
      <w:r w:rsidRPr="00C4110F">
        <w:t>Iron(III) nitrate, Fe(NO</w:t>
      </w:r>
      <w:r w:rsidRPr="00C4110F">
        <w:rPr>
          <w:vertAlign w:val="subscript"/>
        </w:rPr>
        <w:t>3</w:t>
      </w:r>
      <w:r w:rsidRPr="00C4110F">
        <w:t>)</w:t>
      </w:r>
      <w:r w:rsidRPr="00C4110F">
        <w:rPr>
          <w:vertAlign w:val="subscript"/>
        </w:rPr>
        <w:t>3</w:t>
      </w:r>
      <w:r w:rsidRPr="00C4110F">
        <w:t>.9H</w:t>
      </w:r>
      <w:r w:rsidRPr="00C4110F">
        <w:rPr>
          <w:vertAlign w:val="subscript"/>
        </w:rPr>
        <w:t>2</w:t>
      </w:r>
      <w:r w:rsidRPr="00C4110F">
        <w:t>O(</w:t>
      </w:r>
      <w:proofErr w:type="spellStart"/>
      <w:r w:rsidRPr="00C4110F">
        <w:t>aq</w:t>
      </w:r>
      <w:proofErr w:type="spellEnd"/>
      <w:r w:rsidRPr="00C4110F">
        <w:t>),0.1 mol dm</w:t>
      </w:r>
      <w:r w:rsidRPr="00C4110F">
        <w:rPr>
          <w:vertAlign w:val="superscript"/>
        </w:rPr>
        <w:t>–3 </w:t>
      </w:r>
      <w:r w:rsidRPr="00C4110F">
        <w:t xml:space="preserve">(see CLEAPSS </w:t>
      </w:r>
      <w:proofErr w:type="spellStart"/>
      <w:r w:rsidRPr="00C4110F">
        <w:t>Hazcard</w:t>
      </w:r>
      <w:proofErr w:type="spellEnd"/>
      <w:r w:rsidRPr="00C4110F">
        <w:t> </w:t>
      </w:r>
      <w:hyperlink r:id="rId15" w:history="1">
        <w:r w:rsidRPr="00C4110F">
          <w:rPr>
            <w:rStyle w:val="Hyperlink"/>
          </w:rPr>
          <w:t>HC055c</w:t>
        </w:r>
      </w:hyperlink>
      <w:r w:rsidRPr="00C4110F">
        <w:t>), potassium bromide, KBr(</w:t>
      </w:r>
      <w:proofErr w:type="spellStart"/>
      <w:r w:rsidRPr="00C4110F">
        <w:t>aq</w:t>
      </w:r>
      <w:proofErr w:type="spellEnd"/>
      <w:r w:rsidRPr="00C4110F">
        <w:t>), 0.2 mol dm</w:t>
      </w:r>
      <w:r w:rsidRPr="00C4110F">
        <w:rPr>
          <w:vertAlign w:val="superscript"/>
        </w:rPr>
        <w:t>–3</w:t>
      </w:r>
      <w:r w:rsidRPr="00C4110F">
        <w:t>, and potassium iodide, KI(</w:t>
      </w:r>
      <w:proofErr w:type="spellStart"/>
      <w:r w:rsidRPr="00C4110F">
        <w:t>aq</w:t>
      </w:r>
      <w:proofErr w:type="spellEnd"/>
      <w:r w:rsidRPr="00C4110F">
        <w:t>), 0.2 mol dm</w:t>
      </w:r>
      <w:r w:rsidRPr="00C4110F">
        <w:rPr>
          <w:vertAlign w:val="superscript"/>
        </w:rPr>
        <w:t>–3</w:t>
      </w:r>
      <w:r w:rsidRPr="00C4110F">
        <w:t xml:space="preserve"> (see CLEAPSS </w:t>
      </w:r>
      <w:proofErr w:type="spellStart"/>
      <w:r w:rsidRPr="00C4110F">
        <w:t>Hazcard</w:t>
      </w:r>
      <w:proofErr w:type="spellEnd"/>
      <w:r w:rsidRPr="00C4110F">
        <w:t> </w:t>
      </w:r>
      <w:hyperlink r:id="rId16" w:history="1">
        <w:r w:rsidRPr="00C4110F">
          <w:rPr>
            <w:rStyle w:val="Hyperlink"/>
          </w:rPr>
          <w:t>HC047b</w:t>
        </w:r>
      </w:hyperlink>
      <w:r w:rsidRPr="00C4110F">
        <w:t>), are low hazard. As is Iodine solution 0.05 mol dm</w:t>
      </w:r>
      <w:r w:rsidRPr="00C4110F">
        <w:rPr>
          <w:vertAlign w:val="superscript"/>
        </w:rPr>
        <w:t>–3</w:t>
      </w:r>
      <w:r w:rsidRPr="00C4110F">
        <w:t>, but this is also toxic to aquatic life (see CLEAPSS Hazard </w:t>
      </w:r>
      <w:hyperlink r:id="rId17" w:history="1">
        <w:r w:rsidRPr="00C4110F">
          <w:rPr>
            <w:rStyle w:val="Hyperlink"/>
          </w:rPr>
          <w:t>HC054</w:t>
        </w:r>
      </w:hyperlink>
      <w:r w:rsidRPr="00C4110F">
        <w:t>).</w:t>
      </w:r>
    </w:p>
    <w:p w14:paraId="2F5CE81D" w14:textId="79E9F21F" w:rsidR="00450B72" w:rsidRPr="00450B72" w:rsidRDefault="00450B72" w:rsidP="00450B72">
      <w:pPr>
        <w:numPr>
          <w:ilvl w:val="0"/>
          <w:numId w:val="23"/>
        </w:numPr>
        <w:spacing w:line="240" w:lineRule="auto"/>
        <w:ind w:right="150"/>
      </w:pPr>
      <w:r w:rsidRPr="00450B72">
        <w:t>Sodium thiosulphate, 0.1 mol dm</w:t>
      </w:r>
      <w:r w:rsidRPr="00450B72">
        <w:rPr>
          <w:vertAlign w:val="superscript"/>
        </w:rPr>
        <w:t>–3</w:t>
      </w:r>
      <w:r w:rsidRPr="00450B72">
        <w:t> is low hazard (see CLEAPSS </w:t>
      </w:r>
      <w:hyperlink r:id="rId18" w:history="1">
        <w:r w:rsidRPr="00450B72">
          <w:rPr>
            <w:rStyle w:val="Hyperlink"/>
          </w:rPr>
          <w:t>RB087</w:t>
        </w:r>
      </w:hyperlink>
      <w:r w:rsidRPr="00450B72">
        <w:t xml:space="preserve"> for preparation and </w:t>
      </w:r>
      <w:proofErr w:type="spellStart"/>
      <w:r w:rsidRPr="00450B72">
        <w:t>Hazcard</w:t>
      </w:r>
      <w:proofErr w:type="spellEnd"/>
      <w:r w:rsidRPr="00450B72">
        <w:t> </w:t>
      </w:r>
      <w:hyperlink r:id="rId19" w:history="1">
        <w:r w:rsidRPr="00450B72">
          <w:rPr>
            <w:rStyle w:val="Hyperlink"/>
          </w:rPr>
          <w:t>HC9</w:t>
        </w:r>
      </w:hyperlink>
      <w:hyperlink r:id="rId20" w:tgtFrame="_blank" w:history="1">
        <w:r w:rsidRPr="00450B72">
          <w:rPr>
            <w:rStyle w:val="Hyperlink"/>
          </w:rPr>
          <w:t>5a</w:t>
        </w:r>
      </w:hyperlink>
      <w:r w:rsidRPr="00450B72">
        <w:t>).</w:t>
      </w:r>
    </w:p>
    <w:sectPr w:rsidR="00450B72" w:rsidRPr="00450B72">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DC6DA" w14:textId="77777777" w:rsidR="007E10F7" w:rsidRDefault="007E10F7" w:rsidP="00883634">
      <w:pPr>
        <w:spacing w:line="240" w:lineRule="auto"/>
      </w:pPr>
      <w:r>
        <w:separator/>
      </w:r>
    </w:p>
  </w:endnote>
  <w:endnote w:type="continuationSeparator" w:id="0">
    <w:p w14:paraId="05EED5D7" w14:textId="77777777" w:rsidR="007E10F7" w:rsidRDefault="007E10F7"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7442B9F6"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C4110F" w:rsidRPr="00E16371">
        <w:rPr>
          <w:rStyle w:val="Hyperlink"/>
          <w:sz w:val="16"/>
          <w:szCs w:val="16"/>
        </w:rPr>
        <w:t>https://rsc.li/3fKoP3K</w:t>
      </w:r>
    </w:hyperlink>
    <w:r w:rsidR="00C4110F">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A7DC3" w14:textId="77777777" w:rsidR="007E10F7" w:rsidRDefault="007E10F7" w:rsidP="00883634">
      <w:pPr>
        <w:spacing w:line="240" w:lineRule="auto"/>
      </w:pPr>
      <w:r>
        <w:separator/>
      </w:r>
    </w:p>
  </w:footnote>
  <w:footnote w:type="continuationSeparator" w:id="0">
    <w:p w14:paraId="77806A46" w14:textId="77777777" w:rsidR="007E10F7" w:rsidRDefault="007E10F7"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990"/>
    <w:multiLevelType w:val="hybridMultilevel"/>
    <w:tmpl w:val="27B481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C92BBB"/>
    <w:multiLevelType w:val="hybridMultilevel"/>
    <w:tmpl w:val="A4C6E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372473"/>
    <w:multiLevelType w:val="multilevel"/>
    <w:tmpl w:val="F55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87F29"/>
    <w:multiLevelType w:val="hybridMultilevel"/>
    <w:tmpl w:val="46AA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B9500A"/>
    <w:multiLevelType w:val="hybridMultilevel"/>
    <w:tmpl w:val="CB24B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B4B80"/>
    <w:multiLevelType w:val="multilevel"/>
    <w:tmpl w:val="44BC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B8161C"/>
    <w:multiLevelType w:val="hybridMultilevel"/>
    <w:tmpl w:val="B3507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EC3665"/>
    <w:multiLevelType w:val="hybridMultilevel"/>
    <w:tmpl w:val="DA6E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F35EB"/>
    <w:multiLevelType w:val="hybridMultilevel"/>
    <w:tmpl w:val="7C683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CF3EFC"/>
    <w:multiLevelType w:val="multilevel"/>
    <w:tmpl w:val="2A62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E40705"/>
    <w:multiLevelType w:val="hybridMultilevel"/>
    <w:tmpl w:val="F05CB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F00D8C"/>
    <w:multiLevelType w:val="hybridMultilevel"/>
    <w:tmpl w:val="A68A9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2534BD"/>
    <w:multiLevelType w:val="hybridMultilevel"/>
    <w:tmpl w:val="05EA3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A50B08"/>
    <w:multiLevelType w:val="hybridMultilevel"/>
    <w:tmpl w:val="A7F2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A30383"/>
    <w:multiLevelType w:val="hybridMultilevel"/>
    <w:tmpl w:val="4FA4A564"/>
    <w:lvl w:ilvl="0" w:tplc="D906622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531460"/>
    <w:multiLevelType w:val="hybridMultilevel"/>
    <w:tmpl w:val="6D2A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EF36EC"/>
    <w:multiLevelType w:val="multilevel"/>
    <w:tmpl w:val="60AC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AA03D0"/>
    <w:multiLevelType w:val="hybridMultilevel"/>
    <w:tmpl w:val="EF1A4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724A22"/>
    <w:multiLevelType w:val="hybridMultilevel"/>
    <w:tmpl w:val="97C6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222FD4"/>
    <w:multiLevelType w:val="hybridMultilevel"/>
    <w:tmpl w:val="241E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EC55E8"/>
    <w:multiLevelType w:val="multilevel"/>
    <w:tmpl w:val="00343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185EE3"/>
    <w:multiLevelType w:val="multilevel"/>
    <w:tmpl w:val="F066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736C92"/>
    <w:multiLevelType w:val="hybridMultilevel"/>
    <w:tmpl w:val="E2D24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170986"/>
    <w:multiLevelType w:val="multilevel"/>
    <w:tmpl w:val="1A4A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6F39B0"/>
    <w:multiLevelType w:val="hybridMultilevel"/>
    <w:tmpl w:val="87DC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6571491">
    <w:abstractNumId w:val="1"/>
  </w:num>
  <w:num w:numId="2" w16cid:durableId="1739131344">
    <w:abstractNumId w:val="19"/>
  </w:num>
  <w:num w:numId="3" w16cid:durableId="1924870401">
    <w:abstractNumId w:val="6"/>
  </w:num>
  <w:num w:numId="4" w16cid:durableId="944340580">
    <w:abstractNumId w:val="15"/>
  </w:num>
  <w:num w:numId="5" w16cid:durableId="526020237">
    <w:abstractNumId w:val="20"/>
  </w:num>
  <w:num w:numId="6" w16cid:durableId="900870216">
    <w:abstractNumId w:val="2"/>
  </w:num>
  <w:num w:numId="7" w16cid:durableId="1047753641">
    <w:abstractNumId w:val="16"/>
  </w:num>
  <w:num w:numId="8" w16cid:durableId="1679190884">
    <w:abstractNumId w:val="13"/>
  </w:num>
  <w:num w:numId="9" w16cid:durableId="1820535991">
    <w:abstractNumId w:val="0"/>
  </w:num>
  <w:num w:numId="10" w16cid:durableId="1670012541">
    <w:abstractNumId w:val="3"/>
  </w:num>
  <w:num w:numId="11" w16cid:durableId="121849413">
    <w:abstractNumId w:val="7"/>
  </w:num>
  <w:num w:numId="12" w16cid:durableId="889849959">
    <w:abstractNumId w:val="4"/>
  </w:num>
  <w:num w:numId="13" w16cid:durableId="1586450970">
    <w:abstractNumId w:val="18"/>
  </w:num>
  <w:num w:numId="14" w16cid:durableId="642855116">
    <w:abstractNumId w:val="24"/>
  </w:num>
  <w:num w:numId="15" w16cid:durableId="1181316693">
    <w:abstractNumId w:val="12"/>
  </w:num>
  <w:num w:numId="16" w16cid:durableId="1418670244">
    <w:abstractNumId w:val="17"/>
  </w:num>
  <w:num w:numId="17" w16cid:durableId="899023389">
    <w:abstractNumId w:val="14"/>
  </w:num>
  <w:num w:numId="18" w16cid:durableId="2066030417">
    <w:abstractNumId w:val="9"/>
  </w:num>
  <w:num w:numId="19" w16cid:durableId="505900221">
    <w:abstractNumId w:val="5"/>
  </w:num>
  <w:num w:numId="20" w16cid:durableId="183441709">
    <w:abstractNumId w:val="22"/>
  </w:num>
  <w:num w:numId="21" w16cid:durableId="735251431">
    <w:abstractNumId w:val="11"/>
  </w:num>
  <w:num w:numId="22" w16cid:durableId="994527408">
    <w:abstractNumId w:val="21"/>
  </w:num>
  <w:num w:numId="23" w16cid:durableId="1523128509">
    <w:abstractNumId w:val="8"/>
  </w:num>
  <w:num w:numId="24" w16cid:durableId="92482225">
    <w:abstractNumId w:val="10"/>
  </w:num>
  <w:num w:numId="25" w16cid:durableId="11637399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259B8"/>
    <w:rsid w:val="0007548C"/>
    <w:rsid w:val="0010594E"/>
    <w:rsid w:val="00107A74"/>
    <w:rsid w:val="00121D41"/>
    <w:rsid w:val="00127B3E"/>
    <w:rsid w:val="001524CD"/>
    <w:rsid w:val="0015353F"/>
    <w:rsid w:val="001546EA"/>
    <w:rsid w:val="001554E7"/>
    <w:rsid w:val="001637E5"/>
    <w:rsid w:val="00196E56"/>
    <w:rsid w:val="0019786D"/>
    <w:rsid w:val="002479DD"/>
    <w:rsid w:val="002A179B"/>
    <w:rsid w:val="002E173F"/>
    <w:rsid w:val="00301139"/>
    <w:rsid w:val="00315C09"/>
    <w:rsid w:val="00357DE0"/>
    <w:rsid w:val="00384C00"/>
    <w:rsid w:val="003F3444"/>
    <w:rsid w:val="00402AB6"/>
    <w:rsid w:val="00412A04"/>
    <w:rsid w:val="00450B72"/>
    <w:rsid w:val="00452BAE"/>
    <w:rsid w:val="004D7222"/>
    <w:rsid w:val="004E0D1B"/>
    <w:rsid w:val="004F37DE"/>
    <w:rsid w:val="00530E52"/>
    <w:rsid w:val="005678CE"/>
    <w:rsid w:val="005E2D53"/>
    <w:rsid w:val="005E4E58"/>
    <w:rsid w:val="005F10C0"/>
    <w:rsid w:val="00623869"/>
    <w:rsid w:val="00683FBC"/>
    <w:rsid w:val="00695E32"/>
    <w:rsid w:val="006A7649"/>
    <w:rsid w:val="006B2D5F"/>
    <w:rsid w:val="006E6495"/>
    <w:rsid w:val="006F11C7"/>
    <w:rsid w:val="006F1D7B"/>
    <w:rsid w:val="007648CD"/>
    <w:rsid w:val="00795D31"/>
    <w:rsid w:val="007B29DA"/>
    <w:rsid w:val="007C5B2B"/>
    <w:rsid w:val="007E10F7"/>
    <w:rsid w:val="00801C93"/>
    <w:rsid w:val="00883634"/>
    <w:rsid w:val="00883CB8"/>
    <w:rsid w:val="008A2DC0"/>
    <w:rsid w:val="008C2335"/>
    <w:rsid w:val="008D2638"/>
    <w:rsid w:val="009055FB"/>
    <w:rsid w:val="00942589"/>
    <w:rsid w:val="00944467"/>
    <w:rsid w:val="009662E3"/>
    <w:rsid w:val="0097778A"/>
    <w:rsid w:val="009827C9"/>
    <w:rsid w:val="009A34C5"/>
    <w:rsid w:val="009A4E4D"/>
    <w:rsid w:val="009C28B0"/>
    <w:rsid w:val="009C6C7F"/>
    <w:rsid w:val="00A21641"/>
    <w:rsid w:val="00AD3FFE"/>
    <w:rsid w:val="00B2046D"/>
    <w:rsid w:val="00B76B6A"/>
    <w:rsid w:val="00B802D2"/>
    <w:rsid w:val="00B87E51"/>
    <w:rsid w:val="00BC5C4C"/>
    <w:rsid w:val="00BC7C98"/>
    <w:rsid w:val="00C0182D"/>
    <w:rsid w:val="00C11EC1"/>
    <w:rsid w:val="00C4110F"/>
    <w:rsid w:val="00C611F9"/>
    <w:rsid w:val="00CF5E46"/>
    <w:rsid w:val="00D0546F"/>
    <w:rsid w:val="00D15C73"/>
    <w:rsid w:val="00D16ED5"/>
    <w:rsid w:val="00D32040"/>
    <w:rsid w:val="00D511D8"/>
    <w:rsid w:val="00DB7CF6"/>
    <w:rsid w:val="00DC4499"/>
    <w:rsid w:val="00E04D15"/>
    <w:rsid w:val="00E6281A"/>
    <w:rsid w:val="00E64520"/>
    <w:rsid w:val="00E81B12"/>
    <w:rsid w:val="00EA245E"/>
    <w:rsid w:val="00EE1EE1"/>
    <w:rsid w:val="00EE4ECC"/>
    <w:rsid w:val="00EE7B55"/>
    <w:rsid w:val="00F20AA7"/>
    <w:rsid w:val="00F36FC4"/>
    <w:rsid w:val="00F8362D"/>
    <w:rsid w:val="00F93ED9"/>
    <w:rsid w:val="00FB18F6"/>
    <w:rsid w:val="00FD7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148719410">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947347545">
      <w:bodyDiv w:val="1"/>
      <w:marLeft w:val="0"/>
      <w:marRight w:val="0"/>
      <w:marTop w:val="0"/>
      <w:marBottom w:val="0"/>
      <w:divBdr>
        <w:top w:val="none" w:sz="0" w:space="0" w:color="auto"/>
        <w:left w:val="none" w:sz="0" w:space="0" w:color="auto"/>
        <w:bottom w:val="none" w:sz="0" w:space="0" w:color="auto"/>
        <w:right w:val="none" w:sz="0" w:space="0" w:color="auto"/>
      </w:divBdr>
    </w:div>
    <w:div w:id="1127433662">
      <w:bodyDiv w:val="1"/>
      <w:marLeft w:val="0"/>
      <w:marRight w:val="0"/>
      <w:marTop w:val="0"/>
      <w:marBottom w:val="0"/>
      <w:divBdr>
        <w:top w:val="none" w:sz="0" w:space="0" w:color="auto"/>
        <w:left w:val="none" w:sz="0" w:space="0" w:color="auto"/>
        <w:bottom w:val="none" w:sz="0" w:space="0" w:color="auto"/>
        <w:right w:val="none" w:sz="0" w:space="0" w:color="auto"/>
      </w:divBdr>
    </w:div>
    <w:div w:id="1223103682">
      <w:bodyDiv w:val="1"/>
      <w:marLeft w:val="0"/>
      <w:marRight w:val="0"/>
      <w:marTop w:val="0"/>
      <w:marBottom w:val="0"/>
      <w:divBdr>
        <w:top w:val="none" w:sz="0" w:space="0" w:color="auto"/>
        <w:left w:val="none" w:sz="0" w:space="0" w:color="auto"/>
        <w:bottom w:val="none" w:sz="0" w:space="0" w:color="auto"/>
        <w:right w:val="none" w:sz="0" w:space="0" w:color="auto"/>
      </w:divBdr>
    </w:div>
    <w:div w:id="1289043370">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cleapss.org.uk/Resource-Info/HC087-Silver-and-its-compounds.aspx" TargetMode="External"/><Relationship Id="rId18" Type="http://schemas.openxmlformats.org/officeDocument/2006/relationships/hyperlink" Target="https://science.cleapss.org.uk/resource-info/rb087-sodium-thiosulfate.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rsc.li/3SWS6q5" TargetMode="External"/><Relationship Id="rId17" Type="http://schemas.openxmlformats.org/officeDocument/2006/relationships/hyperlink" Target="https://science.cleapss.org.uk/Resource-Info/HC054-Iodine-solid-and-solutions.aspx" TargetMode="External"/><Relationship Id="rId2" Type="http://schemas.openxmlformats.org/officeDocument/2006/relationships/customXml" Target="../customXml/item2.xml"/><Relationship Id="rId16" Type="http://schemas.openxmlformats.org/officeDocument/2006/relationships/hyperlink" Target="https://science.cleapss.org.uk/Resource-Info/HC047b-Halide-salts-Group-1-chlorides-bromides-iodides.aspx" TargetMode="External"/><Relationship Id="rId20" Type="http://schemas.openxmlformats.org/officeDocument/2006/relationships/hyperlink" Target="https://science.cleapss.org.uk/Resource-Info/HC095A-Sodium-and-potassium-salts-1.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ydAQom" TargetMode="External"/><Relationship Id="rId5" Type="http://schemas.openxmlformats.org/officeDocument/2006/relationships/numbering" Target="numbering.xml"/><Relationship Id="rId15" Type="http://schemas.openxmlformats.org/officeDocument/2006/relationships/hyperlink" Target="https://science.cleapss.org.uk/Resource-Info/HC055C-Iron-III-salt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cience.cleapss.org.uk/Resource-Info/HC095A-Sodium-and-potassium-salts-1.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nce.cleapss.org.uk/Resource-Info/HC027c-Copper-salts-sulfates-VI.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rsc.li/3fKoP3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2.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3.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The chemistry of thiosulfate ions – teacher notes</vt:lpstr>
    </vt:vector>
  </TitlesOfParts>
  <Company>Royal Society Of Chemistry</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chemistry of thiosulfate ions – teacher notes</dc:title>
  <dc:subject>TBC</dc:subject>
  <dc:creator>Royal Society of Chemistry</dc:creator>
  <cp:keywords>RSC</cp:keywords>
  <dc:description>Find out about some interesting chemical reactions of sodium thiosulphate</dc:description>
  <cp:lastModifiedBy>Bobby Wells-Brown</cp:lastModifiedBy>
  <cp:revision>5</cp:revision>
  <cp:lastPrinted>2022-10-04T12:17:00Z</cp:lastPrinted>
  <dcterms:created xsi:type="dcterms:W3CDTF">2022-10-04T12:16:00Z</dcterms:created>
  <dcterms:modified xsi:type="dcterms:W3CDTF">2022-12-09T10:12:00Z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