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7D4A8163" w:rsidR="00D511D8" w:rsidRDefault="000D1E8E" w:rsidP="00D0546F">
      <w:pPr>
        <w:pStyle w:val="Heading1"/>
        <w:tabs>
          <w:tab w:val="left" w:pos="1332"/>
        </w:tabs>
      </w:pPr>
      <w:r w:rsidRPr="000D1E8E">
        <w:t xml:space="preserve">Some reactions of </w:t>
      </w:r>
      <w:proofErr w:type="spellStart"/>
      <w:r w:rsidRPr="000D1E8E">
        <w:t>sulfur</w:t>
      </w:r>
      <w:proofErr w:type="spellEnd"/>
      <w:r w:rsidRPr="000D1E8E">
        <w:t xml:space="preserve"> dioxide</w:t>
      </w:r>
      <w:r>
        <w:t xml:space="preserve">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1A463483" w:rsidR="00D0546F" w:rsidRDefault="000D1E8E" w:rsidP="00D0546F">
      <w:pPr>
        <w:pStyle w:val="Default"/>
      </w:pPr>
      <w:r>
        <w:t>Gases</w:t>
      </w:r>
    </w:p>
    <w:p w14:paraId="711EF8BF" w14:textId="2580EB75" w:rsidR="00D0546F" w:rsidRDefault="00D0546F" w:rsidP="00D0546F">
      <w:pPr>
        <w:pStyle w:val="Heading2"/>
      </w:pPr>
      <w:r>
        <w:t>Timing</w:t>
      </w:r>
    </w:p>
    <w:p w14:paraId="5DD5AD43" w14:textId="17F28867" w:rsidR="00A21641" w:rsidRPr="00A21641" w:rsidRDefault="000D1E8E" w:rsidP="00A21641">
      <w:r>
        <w:t>20 minutes.</w:t>
      </w:r>
    </w:p>
    <w:p w14:paraId="41311457" w14:textId="6E667520" w:rsidR="00D0546F" w:rsidRDefault="00D0546F" w:rsidP="000D1E8E">
      <w:pPr>
        <w:pStyle w:val="Heading2"/>
      </w:pPr>
      <w:r>
        <w:t>Apparatus</w:t>
      </w:r>
    </w:p>
    <w:p w14:paraId="18C6111D" w14:textId="77777777" w:rsidR="000D1E8E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Eye protection</w:t>
      </w:r>
    </w:p>
    <w:p w14:paraId="018B350B" w14:textId="77777777" w:rsidR="000D1E8E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Student worksheet</w:t>
      </w:r>
    </w:p>
    <w:p w14:paraId="547EA09D" w14:textId="77777777" w:rsidR="000D1E8E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Clear plastic sheet (</w:t>
      </w:r>
      <w:proofErr w:type="spellStart"/>
      <w:proofErr w:type="gramStart"/>
      <w:r w:rsidRPr="000D1E8E">
        <w:t>eg</w:t>
      </w:r>
      <w:proofErr w:type="spellEnd"/>
      <w:proofErr w:type="gramEnd"/>
      <w:r w:rsidRPr="000D1E8E">
        <w:t xml:space="preserve"> OHP sheet)</w:t>
      </w:r>
    </w:p>
    <w:p w14:paraId="18E49B07" w14:textId="77777777" w:rsidR="000D1E8E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Plastic Petri dish (base + lid), 9 cm</w:t>
      </w:r>
    </w:p>
    <w:p w14:paraId="151C2161" w14:textId="77777777" w:rsidR="000D1E8E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Plastic pipette</w:t>
      </w:r>
    </w:p>
    <w:p w14:paraId="069A545C" w14:textId="1009EE11" w:rsidR="00D0546F" w:rsidRPr="000D1E8E" w:rsidRDefault="000D1E8E" w:rsidP="000D1E8E">
      <w:pPr>
        <w:pStyle w:val="ListParagraph"/>
        <w:numPr>
          <w:ilvl w:val="0"/>
          <w:numId w:val="22"/>
        </w:numPr>
      </w:pPr>
      <w:r w:rsidRPr="000D1E8E">
        <w:t>Scissors</w:t>
      </w:r>
    </w:p>
    <w:p w14:paraId="2E68FD97" w14:textId="60C5EE23" w:rsidR="00D0546F" w:rsidRDefault="00D0546F" w:rsidP="00D0546F">
      <w:pPr>
        <w:pStyle w:val="Heading2"/>
      </w:pPr>
      <w:r>
        <w:t>Chemicals</w:t>
      </w:r>
    </w:p>
    <w:p w14:paraId="3C92FA37" w14:textId="12948B80" w:rsidR="000D1E8E" w:rsidRPr="00DA6D46" w:rsidRDefault="000D1E8E" w:rsidP="000D1E8E">
      <w:r w:rsidRPr="00DA6D46">
        <w:t>Solutions should be contained in plastic pipettes. See the accompanying guidance on </w:t>
      </w:r>
      <w:r w:rsidRPr="000D1E8E">
        <w:t>apparatus and techniques for microscale chemistry</w:t>
      </w:r>
      <w:r w:rsidRPr="00DA6D46">
        <w:t>, which includes instructions for preparing a variety of solutions</w:t>
      </w:r>
      <w:r>
        <w:t xml:space="preserve"> here </w:t>
      </w:r>
      <w:hyperlink r:id="rId11" w:history="1">
        <w:r w:rsidRPr="004550B0">
          <w:rPr>
            <w:rStyle w:val="Hyperlink"/>
          </w:rPr>
          <w:t>https://rsc.li/3SG8VG3</w:t>
        </w:r>
      </w:hyperlink>
      <w:r>
        <w:t xml:space="preserve"> </w:t>
      </w:r>
    </w:p>
    <w:p w14:paraId="244D9AFE" w14:textId="77777777" w:rsidR="000D1E8E" w:rsidRPr="000D1E8E" w:rsidRDefault="000D1E8E" w:rsidP="000D1E8E"/>
    <w:p w14:paraId="18D97503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>Hydrochloric acid, 1 mol m</w:t>
      </w:r>
      <w:r w:rsidRPr="000D1E8E">
        <w:rPr>
          <w:vertAlign w:val="superscript"/>
        </w:rPr>
        <w:t>–3</w:t>
      </w:r>
    </w:p>
    <w:p w14:paraId="696AC349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>Potassium iodide, 0.2 mol dm</w:t>
      </w:r>
      <w:r w:rsidRPr="000D1E8E">
        <w:rPr>
          <w:vertAlign w:val="superscript"/>
        </w:rPr>
        <w:t>–3</w:t>
      </w:r>
    </w:p>
    <w:p w14:paraId="3FD2C77F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>Potassium iodate(V), 0.1 mol dm</w:t>
      </w:r>
      <w:r w:rsidRPr="000D1E8E">
        <w:rPr>
          <w:vertAlign w:val="superscript"/>
        </w:rPr>
        <w:t>–3</w:t>
      </w:r>
    </w:p>
    <w:p w14:paraId="143C3645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 xml:space="preserve">Potassium </w:t>
      </w:r>
      <w:proofErr w:type="gramStart"/>
      <w:r w:rsidRPr="000D1E8E">
        <w:t>manganate(</w:t>
      </w:r>
      <w:proofErr w:type="gramEnd"/>
      <w:r w:rsidRPr="000D1E8E">
        <w:t>VII), 0.01 mol dm</w:t>
      </w:r>
      <w:r w:rsidRPr="000D1E8E">
        <w:rPr>
          <w:vertAlign w:val="superscript"/>
        </w:rPr>
        <w:t>–3</w:t>
      </w:r>
    </w:p>
    <w:p w14:paraId="64FAB474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>Full-range indicator solution diluted 1:1 with deionised water</w:t>
      </w:r>
    </w:p>
    <w:p w14:paraId="00E9B99C" w14:textId="77777777" w:rsidR="000D1E8E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>Sulfuric acid, 1 mol dm</w:t>
      </w:r>
      <w:r w:rsidRPr="000D1E8E">
        <w:rPr>
          <w:vertAlign w:val="superscript"/>
        </w:rPr>
        <w:t>–3</w:t>
      </w:r>
    </w:p>
    <w:p w14:paraId="522838EB" w14:textId="789555F5" w:rsidR="004E0D1B" w:rsidRPr="000D1E8E" w:rsidRDefault="000D1E8E" w:rsidP="000D1E8E">
      <w:pPr>
        <w:pStyle w:val="ListParagraph"/>
        <w:numPr>
          <w:ilvl w:val="0"/>
          <w:numId w:val="21"/>
        </w:numPr>
      </w:pPr>
      <w:r w:rsidRPr="000D1E8E">
        <w:t xml:space="preserve">Sodium </w:t>
      </w:r>
      <w:proofErr w:type="spellStart"/>
      <w:r w:rsidRPr="000D1E8E">
        <w:t>sulfite</w:t>
      </w:r>
      <w:proofErr w:type="spellEnd"/>
      <w:r w:rsidRPr="000D1E8E">
        <w:t xml:space="preserve"> powder</w:t>
      </w:r>
    </w:p>
    <w:p w14:paraId="00960858" w14:textId="77777777" w:rsidR="000D1E8E" w:rsidRPr="000D1E8E" w:rsidRDefault="000D1E8E" w:rsidP="000D1E8E">
      <w:pPr>
        <w:pStyle w:val="Heading2"/>
      </w:pPr>
      <w:r w:rsidRPr="000D1E8E">
        <w:t>Method</w:t>
      </w:r>
    </w:p>
    <w:p w14:paraId="16CAD1AB" w14:textId="77777777" w:rsidR="000D1E8E" w:rsidRPr="000D1E8E" w:rsidRDefault="000D1E8E" w:rsidP="000D1E8E">
      <w:r w:rsidRPr="000D1E8E">
        <w:t xml:space="preserve">Sodium </w:t>
      </w:r>
      <w:proofErr w:type="spellStart"/>
      <w:r w:rsidRPr="000D1E8E">
        <w:t>sulfite</w:t>
      </w:r>
      <w:proofErr w:type="spellEnd"/>
      <w:r w:rsidRPr="000D1E8E">
        <w:t xml:space="preserve"> + hydrochloric acid generates </w:t>
      </w:r>
      <w:proofErr w:type="spellStart"/>
      <w:r w:rsidRPr="000D1E8E">
        <w:t>sulfur</w:t>
      </w:r>
      <w:proofErr w:type="spellEnd"/>
      <w:r w:rsidRPr="000D1E8E">
        <w:t xml:space="preserve"> dioxide:</w:t>
      </w:r>
    </w:p>
    <w:p w14:paraId="7DDA3B59" w14:textId="77777777" w:rsidR="000D1E8E" w:rsidRPr="000D1E8E" w:rsidRDefault="000D1E8E" w:rsidP="000D1E8E">
      <w:r w:rsidRPr="000D1E8E">
        <w:t>Na</w:t>
      </w:r>
      <w:r w:rsidRPr="000D1E8E">
        <w:rPr>
          <w:vertAlign w:val="subscript"/>
        </w:rPr>
        <w:t>2</w:t>
      </w:r>
      <w:r w:rsidRPr="000D1E8E">
        <w:t>SO</w:t>
      </w:r>
      <w:r w:rsidRPr="000D1E8E">
        <w:rPr>
          <w:vertAlign w:val="subscript"/>
        </w:rPr>
        <w:t>3</w:t>
      </w:r>
      <w:r w:rsidRPr="000D1E8E">
        <w:t>(s) + 2HCl(</w:t>
      </w:r>
      <w:proofErr w:type="spellStart"/>
      <w:r w:rsidRPr="000D1E8E">
        <w:t>aq</w:t>
      </w:r>
      <w:proofErr w:type="spellEnd"/>
      <w:r w:rsidRPr="000D1E8E">
        <w:t>) → 2NaCl(s) + SO</w:t>
      </w:r>
      <w:r w:rsidRPr="000D1E8E">
        <w:rPr>
          <w:vertAlign w:val="subscript"/>
        </w:rPr>
        <w:t>2</w:t>
      </w:r>
      <w:r w:rsidRPr="000D1E8E">
        <w:t>(g) + H</w:t>
      </w:r>
      <w:r w:rsidRPr="000D1E8E">
        <w:rPr>
          <w:vertAlign w:val="subscript"/>
        </w:rPr>
        <w:t>2</w:t>
      </w:r>
      <w:r w:rsidRPr="000D1E8E">
        <w:t>O(l)</w:t>
      </w:r>
    </w:p>
    <w:p w14:paraId="3823D3CF" w14:textId="77777777" w:rsidR="000D1E8E" w:rsidRPr="000D1E8E" w:rsidRDefault="000D1E8E" w:rsidP="000D1E8E">
      <w:pPr>
        <w:pStyle w:val="Heading2"/>
      </w:pPr>
      <w:r w:rsidRPr="000D1E8E">
        <w:t>Results</w:t>
      </w:r>
    </w:p>
    <w:p w14:paraId="518181D7" w14:textId="77777777" w:rsidR="000D1E8E" w:rsidRPr="000D1E8E" w:rsidRDefault="000D1E8E" w:rsidP="000D1E8E">
      <w:r w:rsidRPr="000D1E8E">
        <w:t>The iodide/iodate mixture turns black due to liberation of iodine:</w:t>
      </w:r>
    </w:p>
    <w:p w14:paraId="705F068B" w14:textId="56E74115" w:rsidR="000D1E8E" w:rsidRDefault="000D1E8E" w:rsidP="000D1E8E">
      <w:r w:rsidRPr="000D1E8E">
        <w:t>IO</w:t>
      </w:r>
      <w:r w:rsidRPr="000D1E8E">
        <w:rPr>
          <w:vertAlign w:val="subscript"/>
        </w:rPr>
        <w:t>3</w:t>
      </w:r>
      <w:r w:rsidRPr="009F6565">
        <w:rPr>
          <w:vertAlign w:val="superscript"/>
        </w:rPr>
        <w:t>–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+ 5I</w:t>
      </w:r>
      <w:r w:rsidRPr="000D1E8E">
        <w:rPr>
          <w:vertAlign w:val="superscript"/>
        </w:rPr>
        <w:t>–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+ 6H</w:t>
      </w:r>
      <w:r w:rsidRPr="000D1E8E">
        <w:rPr>
          <w:vertAlign w:val="superscript"/>
        </w:rPr>
        <w:t>+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→ 3I</w:t>
      </w:r>
      <w:r w:rsidRPr="000D1E8E">
        <w:rPr>
          <w:vertAlign w:val="subscript"/>
        </w:rPr>
        <w:t>2</w:t>
      </w:r>
      <w:r w:rsidRPr="000D1E8E">
        <w:t>(g) + 3H</w:t>
      </w:r>
      <w:r w:rsidRPr="000D1E8E">
        <w:rPr>
          <w:vertAlign w:val="subscript"/>
        </w:rPr>
        <w:t>2</w:t>
      </w:r>
      <w:r w:rsidRPr="000D1E8E">
        <w:t>O(l)</w:t>
      </w:r>
    </w:p>
    <w:p w14:paraId="00B89AE6" w14:textId="77777777" w:rsidR="009F6565" w:rsidRPr="000D1E8E" w:rsidRDefault="009F6565" w:rsidP="000D1E8E"/>
    <w:p w14:paraId="088B02DA" w14:textId="77777777" w:rsidR="000D1E8E" w:rsidRPr="000D1E8E" w:rsidRDefault="000D1E8E" w:rsidP="000D1E8E">
      <w:r w:rsidRPr="000D1E8E">
        <w:t xml:space="preserve">If sufficient </w:t>
      </w:r>
      <w:proofErr w:type="spellStart"/>
      <w:r w:rsidRPr="000D1E8E">
        <w:t>sulfur</w:t>
      </w:r>
      <w:proofErr w:type="spellEnd"/>
      <w:r w:rsidRPr="000D1E8E">
        <w:t xml:space="preserve"> dioxide is produced and the solution contains excess acid, the potassium </w:t>
      </w:r>
      <w:proofErr w:type="gramStart"/>
      <w:r w:rsidRPr="000D1E8E">
        <w:t>manganate(</w:t>
      </w:r>
      <w:proofErr w:type="gramEnd"/>
      <w:r w:rsidRPr="000D1E8E">
        <w:t>VII) solution is decolorised:</w:t>
      </w:r>
    </w:p>
    <w:p w14:paraId="57F91E84" w14:textId="451B1BFB" w:rsidR="000D1E8E" w:rsidRDefault="000D1E8E" w:rsidP="000D1E8E">
      <w:r w:rsidRPr="000D1E8E">
        <w:t>8H</w:t>
      </w:r>
      <w:r w:rsidRPr="000D1E8E">
        <w:rPr>
          <w:vertAlign w:val="superscript"/>
        </w:rPr>
        <w:t>+</w:t>
      </w:r>
      <w:r w:rsidRPr="000D1E8E">
        <w:t>(</w:t>
      </w:r>
      <w:proofErr w:type="spellStart"/>
      <w:proofErr w:type="gramStart"/>
      <w:r w:rsidRPr="000D1E8E">
        <w:t>aq</w:t>
      </w:r>
      <w:proofErr w:type="spellEnd"/>
      <w:r w:rsidRPr="000D1E8E">
        <w:t>)+</w:t>
      </w:r>
      <w:proofErr w:type="gramEnd"/>
      <w:r w:rsidRPr="000D1E8E">
        <w:t xml:space="preserve"> 5e</w:t>
      </w:r>
      <w:r w:rsidRPr="000D1E8E">
        <w:rPr>
          <w:vertAlign w:val="superscript"/>
        </w:rPr>
        <w:t>–</w:t>
      </w:r>
      <w:r w:rsidRPr="000D1E8E">
        <w:t> + MnO</w:t>
      </w:r>
      <w:r w:rsidRPr="000D1E8E">
        <w:rPr>
          <w:vertAlign w:val="subscript"/>
        </w:rPr>
        <w:t>4</w:t>
      </w:r>
      <w:r w:rsidRPr="000D1E8E">
        <w:rPr>
          <w:vertAlign w:val="superscript"/>
        </w:rPr>
        <w:t>–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→ Mn</w:t>
      </w:r>
      <w:r w:rsidRPr="000D1E8E">
        <w:rPr>
          <w:vertAlign w:val="superscript"/>
        </w:rPr>
        <w:t>2+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+ 4H</w:t>
      </w:r>
      <w:r w:rsidRPr="000D1E8E">
        <w:rPr>
          <w:vertAlign w:val="subscript"/>
        </w:rPr>
        <w:t>2</w:t>
      </w:r>
      <w:r w:rsidRPr="000D1E8E">
        <w:t>O(l)</w:t>
      </w:r>
    </w:p>
    <w:p w14:paraId="3C0D4F64" w14:textId="77777777" w:rsidR="009F6565" w:rsidRPr="000D1E8E" w:rsidRDefault="009F6565" w:rsidP="000D1E8E"/>
    <w:p w14:paraId="0B148613" w14:textId="77777777" w:rsidR="000D1E8E" w:rsidRPr="000D1E8E" w:rsidRDefault="000D1E8E" w:rsidP="000D1E8E">
      <w:r w:rsidRPr="000D1E8E">
        <w:t xml:space="preserve">However, with less </w:t>
      </w:r>
      <w:proofErr w:type="spellStart"/>
      <w:r w:rsidRPr="000D1E8E">
        <w:t>sulfur</w:t>
      </w:r>
      <w:proofErr w:type="spellEnd"/>
      <w:r w:rsidRPr="000D1E8E">
        <w:t xml:space="preserve"> dioxide and therefore less acid, the brown </w:t>
      </w:r>
      <w:proofErr w:type="gramStart"/>
      <w:r w:rsidRPr="000D1E8E">
        <w:t>manganese(</w:t>
      </w:r>
      <w:proofErr w:type="gramEnd"/>
      <w:r w:rsidRPr="000D1E8E">
        <w:t>IV) oxide is formed:</w:t>
      </w:r>
    </w:p>
    <w:p w14:paraId="2D682B65" w14:textId="65AB8126" w:rsidR="000D1E8E" w:rsidRDefault="000D1E8E" w:rsidP="000D1E8E">
      <w:r w:rsidRPr="000D1E8E">
        <w:t>4H</w:t>
      </w:r>
      <w:r w:rsidRPr="000D1E8E">
        <w:rPr>
          <w:vertAlign w:val="superscript"/>
        </w:rPr>
        <w:t>+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+ MnO</w:t>
      </w:r>
      <w:r w:rsidRPr="000D1E8E">
        <w:rPr>
          <w:vertAlign w:val="subscript"/>
        </w:rPr>
        <w:t>4</w:t>
      </w:r>
      <w:r w:rsidRPr="000D1E8E">
        <w:rPr>
          <w:vertAlign w:val="superscript"/>
        </w:rPr>
        <w:t>–</w:t>
      </w:r>
      <w:r w:rsidRPr="000D1E8E">
        <w:t>(</w:t>
      </w:r>
      <w:proofErr w:type="spellStart"/>
      <w:r w:rsidRPr="000D1E8E">
        <w:t>aq</w:t>
      </w:r>
      <w:proofErr w:type="spellEnd"/>
      <w:r w:rsidRPr="000D1E8E">
        <w:t>) + 3e</w:t>
      </w:r>
      <w:r w:rsidRPr="000D1E8E">
        <w:rPr>
          <w:vertAlign w:val="superscript"/>
        </w:rPr>
        <w:t>–</w:t>
      </w:r>
      <w:r w:rsidRPr="000D1E8E">
        <w:t> → MnO</w:t>
      </w:r>
      <w:r w:rsidRPr="000D1E8E">
        <w:rPr>
          <w:vertAlign w:val="subscript"/>
        </w:rPr>
        <w:t>2</w:t>
      </w:r>
      <w:r w:rsidRPr="000D1E8E">
        <w:t>(s) + 2H</w:t>
      </w:r>
      <w:r w:rsidRPr="000D1E8E">
        <w:rPr>
          <w:vertAlign w:val="subscript"/>
        </w:rPr>
        <w:t>2</w:t>
      </w:r>
      <w:r w:rsidRPr="000D1E8E">
        <w:t>O(l)</w:t>
      </w:r>
    </w:p>
    <w:p w14:paraId="7F867621" w14:textId="77777777" w:rsidR="009F6565" w:rsidRPr="000D1E8E" w:rsidRDefault="009F6565" w:rsidP="000D1E8E"/>
    <w:p w14:paraId="105586C7" w14:textId="77777777" w:rsidR="000D1E8E" w:rsidRPr="000D1E8E" w:rsidRDefault="000D1E8E" w:rsidP="000D1E8E">
      <w:r w:rsidRPr="000D1E8E">
        <w:t xml:space="preserve">Full-range indicator turns from green to yellow, indicating that </w:t>
      </w:r>
      <w:proofErr w:type="spellStart"/>
      <w:r w:rsidRPr="000D1E8E">
        <w:t>sulfur</w:t>
      </w:r>
      <w:proofErr w:type="spellEnd"/>
      <w:r w:rsidRPr="000D1E8E">
        <w:t xml:space="preserve"> dioxide is an acidic gas.</w:t>
      </w:r>
    </w:p>
    <w:p w14:paraId="1549AD54" w14:textId="77777777" w:rsidR="009F6565" w:rsidRDefault="009F6565" w:rsidP="00D511D8">
      <w:pPr>
        <w:pStyle w:val="Heading2"/>
      </w:pPr>
    </w:p>
    <w:p w14:paraId="0E1C208A" w14:textId="35EE629B" w:rsidR="00D511D8" w:rsidRDefault="00D511D8" w:rsidP="00D511D8">
      <w:pPr>
        <w:pStyle w:val="Heading2"/>
      </w:pPr>
      <w:r>
        <w:lastRenderedPageBreak/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7329494E" w14:textId="1081F26F" w:rsidR="000D1E8E" w:rsidRPr="000D1E8E" w:rsidRDefault="000D1E8E" w:rsidP="000D1E8E">
      <w:pPr>
        <w:pStyle w:val="ListParagraph"/>
        <w:numPr>
          <w:ilvl w:val="0"/>
          <w:numId w:val="24"/>
        </w:numPr>
      </w:pPr>
      <w:bookmarkStart w:id="0" w:name="_Hlk115945670"/>
      <w:r w:rsidRPr="000D1E8E">
        <w:t>Read our standard health and safety guidance</w:t>
      </w:r>
      <w:r>
        <w:t xml:space="preserve"> here </w:t>
      </w:r>
      <w:hyperlink r:id="rId12" w:history="1">
        <w:r w:rsidRPr="004550B0">
          <w:rPr>
            <w:rStyle w:val="Hyperlink"/>
          </w:rPr>
          <w:t>https://rsc.li/3eeAKq4</w:t>
        </w:r>
      </w:hyperlink>
      <w:r>
        <w:t xml:space="preserve"> </w:t>
      </w:r>
    </w:p>
    <w:p w14:paraId="11EE389D" w14:textId="77777777" w:rsidR="000D1E8E" w:rsidRPr="000D1E8E" w:rsidRDefault="000D1E8E" w:rsidP="000D1E8E">
      <w:pPr>
        <w:pStyle w:val="ListParagraph"/>
        <w:numPr>
          <w:ilvl w:val="0"/>
          <w:numId w:val="24"/>
        </w:numPr>
      </w:pPr>
      <w:r w:rsidRPr="000D1E8E">
        <w:t>Students must wear eye protection.</w:t>
      </w:r>
    </w:p>
    <w:p w14:paraId="7AFE9B80" w14:textId="77777777" w:rsidR="000D1E8E" w:rsidRPr="000D1E8E" w:rsidRDefault="000D1E8E" w:rsidP="000D1E8E">
      <w:pPr>
        <w:pStyle w:val="ListParagraph"/>
        <w:numPr>
          <w:ilvl w:val="0"/>
          <w:numId w:val="24"/>
        </w:numPr>
      </w:pPr>
      <w:proofErr w:type="spellStart"/>
      <w:r w:rsidRPr="000D1E8E">
        <w:t>Sulfur</w:t>
      </w:r>
      <w:proofErr w:type="spellEnd"/>
      <w:r w:rsidRPr="000D1E8E">
        <w:t xml:space="preserve"> dioxide is toxic and is a particular problem for asthmatics. Only use a very small amount of </w:t>
      </w:r>
      <w:proofErr w:type="spellStart"/>
      <w:r w:rsidRPr="000D1E8E">
        <w:t>sulfite</w:t>
      </w:r>
      <w:proofErr w:type="spellEnd"/>
      <w:r w:rsidRPr="000D1E8E">
        <w:t xml:space="preserve"> and acid to keep the </w:t>
      </w:r>
      <w:proofErr w:type="spellStart"/>
      <w:r w:rsidRPr="000D1E8E">
        <w:t>sulfur</w:t>
      </w:r>
      <w:proofErr w:type="spellEnd"/>
      <w:r w:rsidRPr="000D1E8E">
        <w:t xml:space="preserve"> dioxide production to a minimum. A risk-assessment should include any individual sensitivities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3" w:history="1">
        <w:r w:rsidRPr="000D1E8E">
          <w:rPr>
            <w:rStyle w:val="Hyperlink"/>
          </w:rPr>
          <w:t>HC097</w:t>
        </w:r>
      </w:hyperlink>
      <w:r w:rsidRPr="000D1E8E">
        <w:t>).</w:t>
      </w:r>
    </w:p>
    <w:p w14:paraId="14A06DBF" w14:textId="77777777" w:rsidR="000D1E8E" w:rsidRPr="000D1E8E" w:rsidRDefault="000D1E8E" w:rsidP="000D1E8E">
      <w:pPr>
        <w:pStyle w:val="ListParagraph"/>
        <w:numPr>
          <w:ilvl w:val="0"/>
          <w:numId w:val="24"/>
        </w:numPr>
      </w:pPr>
      <w:r w:rsidRPr="000D1E8E">
        <w:t>Hydrochloric acid 1 mol m</w:t>
      </w:r>
      <w:r w:rsidRPr="000D1E8E">
        <w:rPr>
          <w:vertAlign w:val="superscript"/>
        </w:rPr>
        <w:t>–3</w:t>
      </w:r>
      <w:r w:rsidRPr="000D1E8E">
        <w:t>, potassium iodide 0.2 mol dm</w:t>
      </w:r>
      <w:r w:rsidRPr="000D1E8E">
        <w:rPr>
          <w:vertAlign w:val="superscript"/>
        </w:rPr>
        <w:t>–3</w:t>
      </w:r>
      <w:r w:rsidRPr="000D1E8E">
        <w:t>, potassium iodate(V) 0.1 mol dm</w:t>
      </w:r>
      <w:r w:rsidRPr="000D1E8E">
        <w:rPr>
          <w:vertAlign w:val="superscript"/>
        </w:rPr>
        <w:t>–3</w:t>
      </w:r>
      <w:r w:rsidRPr="000D1E8E">
        <w:t> and potassium manganate(VII) 0.01 mol dm</w:t>
      </w:r>
      <w:r w:rsidRPr="000D1E8E">
        <w:rPr>
          <w:vertAlign w:val="superscript"/>
        </w:rPr>
        <w:t>–3</w:t>
      </w:r>
      <w:r w:rsidRPr="000D1E8E">
        <w:t xml:space="preserve"> are all of low hazard (see CLEAPSS </w:t>
      </w:r>
      <w:proofErr w:type="spellStart"/>
      <w:r w:rsidRPr="000D1E8E">
        <w:t>Hazcards</w:t>
      </w:r>
      <w:proofErr w:type="spellEnd"/>
      <w:r w:rsidRPr="000D1E8E">
        <w:t> </w:t>
      </w:r>
      <w:hyperlink r:id="rId14" w:history="1">
        <w:r w:rsidRPr="000D1E8E">
          <w:rPr>
            <w:rStyle w:val="Hyperlink"/>
          </w:rPr>
          <w:t>HC047a</w:t>
        </w:r>
      </w:hyperlink>
      <w:r w:rsidRPr="000D1E8E">
        <w:t>, </w:t>
      </w:r>
      <w:hyperlink r:id="rId15" w:history="1">
        <w:r w:rsidRPr="000D1E8E">
          <w:rPr>
            <w:rStyle w:val="Hyperlink"/>
          </w:rPr>
          <w:t>HC047b</w:t>
        </w:r>
      </w:hyperlink>
      <w:r w:rsidRPr="000D1E8E">
        <w:t>, </w:t>
      </w:r>
      <w:hyperlink r:id="rId16" w:history="1">
        <w:r w:rsidRPr="000D1E8E">
          <w:rPr>
            <w:rStyle w:val="Hyperlink"/>
          </w:rPr>
          <w:t>HC080</w:t>
        </w:r>
      </w:hyperlink>
      <w:r w:rsidRPr="000D1E8E">
        <w:t>, </w:t>
      </w:r>
      <w:hyperlink r:id="rId17" w:history="1">
        <w:r w:rsidRPr="000D1E8E">
          <w:rPr>
            <w:rStyle w:val="Hyperlink"/>
          </w:rPr>
          <w:t>HC081</w:t>
        </w:r>
      </w:hyperlink>
      <w:r w:rsidRPr="000D1E8E">
        <w:t>).</w:t>
      </w:r>
    </w:p>
    <w:p w14:paraId="699EEFC2" w14:textId="77777777" w:rsidR="000D1E8E" w:rsidRPr="000D1E8E" w:rsidRDefault="000D1E8E" w:rsidP="000D1E8E">
      <w:pPr>
        <w:pStyle w:val="ListParagraph"/>
        <w:numPr>
          <w:ilvl w:val="0"/>
          <w:numId w:val="24"/>
        </w:numPr>
      </w:pPr>
      <w:r w:rsidRPr="000D1E8E">
        <w:t>Sulfuric acid 1 mol dm</w:t>
      </w:r>
      <w:r w:rsidRPr="000D1E8E">
        <w:rPr>
          <w:vertAlign w:val="superscript"/>
        </w:rPr>
        <w:t>–3</w:t>
      </w:r>
      <w:r w:rsidRPr="000D1E8E">
        <w:t xml:space="preserve"> is a skin/eye irritant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8" w:history="1">
        <w:r w:rsidRPr="000D1E8E">
          <w:rPr>
            <w:rStyle w:val="Hyperlink"/>
          </w:rPr>
          <w:t>HC098a</w:t>
        </w:r>
      </w:hyperlink>
      <w:r w:rsidRPr="000D1E8E">
        <w:t>).</w:t>
      </w:r>
    </w:p>
    <w:p w14:paraId="1160C83C" w14:textId="77777777" w:rsidR="000D1E8E" w:rsidRPr="000D1E8E" w:rsidRDefault="000D1E8E" w:rsidP="000D1E8E">
      <w:pPr>
        <w:pStyle w:val="ListParagraph"/>
        <w:numPr>
          <w:ilvl w:val="0"/>
          <w:numId w:val="24"/>
        </w:numPr>
      </w:pPr>
      <w:r w:rsidRPr="000D1E8E">
        <w:t xml:space="preserve">Sodium </w:t>
      </w:r>
      <w:proofErr w:type="spellStart"/>
      <w:r w:rsidRPr="000D1E8E">
        <w:t>sulfite</w:t>
      </w:r>
      <w:proofErr w:type="spellEnd"/>
      <w:r w:rsidRPr="000D1E8E">
        <w:t xml:space="preserve"> powder is a skin, </w:t>
      </w:r>
      <w:proofErr w:type="gramStart"/>
      <w:r w:rsidRPr="000D1E8E">
        <w:t>eye</w:t>
      </w:r>
      <w:proofErr w:type="gramEnd"/>
      <w:r w:rsidRPr="000D1E8E">
        <w:t xml:space="preserve"> and respiratory irritant. Depending on its formulation, full range indicator can still be flammable when diluted 1:1 with water. Keep away from sources of ignition (see CLEAPSS </w:t>
      </w:r>
      <w:proofErr w:type="spellStart"/>
      <w:r w:rsidRPr="000D1E8E">
        <w:t>Hazcard</w:t>
      </w:r>
      <w:proofErr w:type="spellEnd"/>
      <w:r w:rsidRPr="000D1E8E">
        <w:t> </w:t>
      </w:r>
      <w:hyperlink r:id="rId19" w:history="1">
        <w:r w:rsidRPr="000D1E8E">
          <w:rPr>
            <w:rStyle w:val="Hyperlink"/>
          </w:rPr>
          <w:t>HC092</w:t>
        </w:r>
      </w:hyperlink>
      <w:r w:rsidRPr="000D1E8E">
        <w:t>).</w:t>
      </w:r>
    </w:p>
    <w:bookmarkEnd w:id="0"/>
    <w:p w14:paraId="243EB354" w14:textId="77777777" w:rsidR="00D0546F" w:rsidRPr="00D511D8" w:rsidRDefault="00D0546F" w:rsidP="00D511D8"/>
    <w:sectPr w:rsidR="00D0546F" w:rsidRPr="00D511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B5F4" w14:textId="77777777" w:rsidR="000B0525" w:rsidRDefault="000B0525" w:rsidP="00883634">
      <w:pPr>
        <w:spacing w:line="240" w:lineRule="auto"/>
      </w:pPr>
      <w:r>
        <w:separator/>
      </w:r>
    </w:p>
  </w:endnote>
  <w:endnote w:type="continuationSeparator" w:id="0">
    <w:p w14:paraId="1CC81631" w14:textId="77777777" w:rsidR="000B0525" w:rsidRDefault="000B0525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C438" w14:textId="77777777" w:rsidR="00F74B73" w:rsidRDefault="00F74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C96C89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bookmarkStart w:id="1" w:name="_Hlk115945795"/>
    <w:r w:rsidR="000D1E8E">
      <w:rPr>
        <w:sz w:val="16"/>
        <w:szCs w:val="16"/>
      </w:rPr>
      <w:fldChar w:fldCharType="begin"/>
    </w:r>
    <w:r w:rsidR="000D1E8E">
      <w:rPr>
        <w:sz w:val="16"/>
        <w:szCs w:val="16"/>
      </w:rPr>
      <w:instrText xml:space="preserve"> HYPERLINK "</w:instrText>
    </w:r>
    <w:r w:rsidR="000D1E8E" w:rsidRPr="000D1E8E">
      <w:rPr>
        <w:sz w:val="16"/>
        <w:szCs w:val="16"/>
      </w:rPr>
      <w:instrText>https://rsc.li/3SWV5yM</w:instrText>
    </w:r>
    <w:r w:rsidR="000D1E8E">
      <w:rPr>
        <w:sz w:val="16"/>
        <w:szCs w:val="16"/>
      </w:rPr>
      <w:instrText xml:space="preserve">" </w:instrText>
    </w:r>
    <w:r w:rsidR="000D1E8E">
      <w:rPr>
        <w:sz w:val="16"/>
        <w:szCs w:val="16"/>
      </w:rPr>
      <w:fldChar w:fldCharType="separate"/>
    </w:r>
    <w:r w:rsidR="000D1E8E" w:rsidRPr="004550B0">
      <w:rPr>
        <w:rStyle w:val="Hyperlink"/>
        <w:sz w:val="16"/>
        <w:szCs w:val="16"/>
      </w:rPr>
      <w:t>https://rsc.li/3SWV5yM</w:t>
    </w:r>
    <w:r w:rsidR="000D1E8E">
      <w:rPr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4730" w14:textId="77777777" w:rsidR="00F74B73" w:rsidRDefault="00F74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29CD" w14:textId="77777777" w:rsidR="000B0525" w:rsidRDefault="000B0525" w:rsidP="00883634">
      <w:pPr>
        <w:spacing w:line="240" w:lineRule="auto"/>
      </w:pPr>
      <w:r>
        <w:separator/>
      </w:r>
    </w:p>
  </w:footnote>
  <w:footnote w:type="continuationSeparator" w:id="0">
    <w:p w14:paraId="21601A4A" w14:textId="77777777" w:rsidR="000B0525" w:rsidRDefault="000B0525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503F" w14:textId="77777777" w:rsidR="00F74B73" w:rsidRDefault="00F74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E8D1" w14:textId="77777777" w:rsidR="00F74B73" w:rsidRDefault="00F74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5993" w14:textId="77777777" w:rsidR="00F74B73" w:rsidRDefault="00F7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77"/>
    <w:multiLevelType w:val="multilevel"/>
    <w:tmpl w:val="9E4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61007"/>
    <w:multiLevelType w:val="hybridMultilevel"/>
    <w:tmpl w:val="1FF8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A7EA0"/>
    <w:multiLevelType w:val="multilevel"/>
    <w:tmpl w:val="420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459B2"/>
    <w:multiLevelType w:val="hybridMultilevel"/>
    <w:tmpl w:val="B308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D13F3"/>
    <w:multiLevelType w:val="multilevel"/>
    <w:tmpl w:val="FDE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906E1"/>
    <w:multiLevelType w:val="hybridMultilevel"/>
    <w:tmpl w:val="09C89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F74C8"/>
    <w:multiLevelType w:val="hybridMultilevel"/>
    <w:tmpl w:val="CC80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20"/>
  </w:num>
  <w:num w:numId="3" w16cid:durableId="1924870401">
    <w:abstractNumId w:val="7"/>
  </w:num>
  <w:num w:numId="4" w16cid:durableId="944340580">
    <w:abstractNumId w:val="16"/>
  </w:num>
  <w:num w:numId="5" w16cid:durableId="526020237">
    <w:abstractNumId w:val="21"/>
  </w:num>
  <w:num w:numId="6" w16cid:durableId="900870216">
    <w:abstractNumId w:val="3"/>
  </w:num>
  <w:num w:numId="7" w16cid:durableId="1047753641">
    <w:abstractNumId w:val="17"/>
  </w:num>
  <w:num w:numId="8" w16cid:durableId="1679190884">
    <w:abstractNumId w:val="13"/>
  </w:num>
  <w:num w:numId="9" w16cid:durableId="1820535991">
    <w:abstractNumId w:val="0"/>
  </w:num>
  <w:num w:numId="10" w16cid:durableId="1670012541">
    <w:abstractNumId w:val="4"/>
  </w:num>
  <w:num w:numId="11" w16cid:durableId="121849413">
    <w:abstractNumId w:val="8"/>
  </w:num>
  <w:num w:numId="12" w16cid:durableId="889849959">
    <w:abstractNumId w:val="6"/>
  </w:num>
  <w:num w:numId="13" w16cid:durableId="1586450970">
    <w:abstractNumId w:val="19"/>
  </w:num>
  <w:num w:numId="14" w16cid:durableId="642855116">
    <w:abstractNumId w:val="23"/>
  </w:num>
  <w:num w:numId="15" w16cid:durableId="1181316693">
    <w:abstractNumId w:val="9"/>
  </w:num>
  <w:num w:numId="16" w16cid:durableId="1418670244">
    <w:abstractNumId w:val="18"/>
  </w:num>
  <w:num w:numId="17" w16cid:durableId="899023389">
    <w:abstractNumId w:val="14"/>
  </w:num>
  <w:num w:numId="18" w16cid:durableId="1197304811">
    <w:abstractNumId w:val="10"/>
  </w:num>
  <w:num w:numId="19" w16cid:durableId="812334632">
    <w:abstractNumId w:val="11"/>
  </w:num>
  <w:num w:numId="20" w16cid:durableId="1438334936">
    <w:abstractNumId w:val="12"/>
  </w:num>
  <w:num w:numId="21" w16cid:durableId="1227037029">
    <w:abstractNumId w:val="22"/>
  </w:num>
  <w:num w:numId="22" w16cid:durableId="1067805982">
    <w:abstractNumId w:val="15"/>
  </w:num>
  <w:num w:numId="23" w16cid:durableId="164169890">
    <w:abstractNumId w:val="2"/>
  </w:num>
  <w:num w:numId="24" w16cid:durableId="1630013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B0525"/>
    <w:rsid w:val="000D1E8E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9F0863"/>
    <w:rsid w:val="009F6565"/>
    <w:rsid w:val="00A21641"/>
    <w:rsid w:val="00AD3FFE"/>
    <w:rsid w:val="00B2046D"/>
    <w:rsid w:val="00B76B6A"/>
    <w:rsid w:val="00B802D2"/>
    <w:rsid w:val="00B87E51"/>
    <w:rsid w:val="00BC5C4C"/>
    <w:rsid w:val="00BC7C98"/>
    <w:rsid w:val="00BE65F0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74B73"/>
    <w:rsid w:val="00F8362D"/>
    <w:rsid w:val="00F93ED9"/>
    <w:rsid w:val="00FA5145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97-Sulfur-dioxide.aspx" TargetMode="External"/><Relationship Id="rId18" Type="http://schemas.openxmlformats.org/officeDocument/2006/relationships/hyperlink" Target="https://science.cleapss.org.uk/Resource-Info/HC098a-Sulfuric-VI-acid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rsc.li/3eeAKq4" TargetMode="External"/><Relationship Id="rId17" Type="http://schemas.openxmlformats.org/officeDocument/2006/relationships/hyperlink" Target="https://science.cleapss.org.uk/Resource-Info/HC081-Potassium-manganate-VII.asp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80-Potassium-bromate-V-and-iodate-V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SG8VG3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47b-Halide-salts-Group-1-chlorides-bromides-iodides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92-Sodium-and-potassium-metabisulfit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47a-Hydrochloric-acid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reactions of sulfur dioxide – teacher notes</vt:lpstr>
    </vt:vector>
  </TitlesOfParts>
  <Company>Royal Society Of Chemistry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reactions of sulfur dioxide – teacher notes</dc:title>
  <dc:subject>TBC</dc:subject>
  <dc:creator>Royal Society of Chemistry</dc:creator>
  <cp:keywords>RSC</cp:keywords>
  <dc:description>Observe the reactions of sulfur dioxide with potassium manganate (IV), iodide/iodate mixture and indicator solution</dc:description>
  <cp:lastModifiedBy>Bobby Wells-Brown</cp:lastModifiedBy>
  <cp:revision>4</cp:revision>
  <cp:lastPrinted>2022-10-06T09:35:00Z</cp:lastPrinted>
  <dcterms:created xsi:type="dcterms:W3CDTF">2022-10-06T09:34:00Z</dcterms:created>
  <dcterms:modified xsi:type="dcterms:W3CDTF">2022-10-07T08:31:00Z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