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3138B052" w:rsidR="00A0567D" w:rsidRDefault="00520A6A" w:rsidP="003D4276">
      <w:pPr>
        <w:pStyle w:val="RSCH1"/>
      </w:pPr>
      <w:r>
        <w:t>Born–Haber cycles</w:t>
      </w:r>
    </w:p>
    <w:p w14:paraId="41FC852F" w14:textId="2AC97DCA" w:rsidR="00520A6A" w:rsidRDefault="00520A6A" w:rsidP="00520A6A">
      <w:pPr>
        <w:pStyle w:val="RSCBasictext"/>
      </w:pPr>
      <w:r>
        <w:t xml:space="preserve">Born–Haber cycles are named after the two German scientists </w:t>
      </w:r>
      <w:r w:rsidRPr="00683DE7">
        <w:rPr>
          <w:b/>
          <w:bCs/>
        </w:rPr>
        <w:t>Max Born</w:t>
      </w:r>
      <w:r>
        <w:t xml:space="preserve"> and </w:t>
      </w:r>
      <w:r w:rsidRPr="00683DE7">
        <w:rPr>
          <w:b/>
          <w:bCs/>
        </w:rPr>
        <w:t>Fritz Haber</w:t>
      </w:r>
      <w:r>
        <w:t>. The</w:t>
      </w:r>
      <w:r w:rsidR="0057713C">
        <w:t xml:space="preserve"> c</w:t>
      </w:r>
      <w:r>
        <w:t>y</w:t>
      </w:r>
      <w:r w:rsidR="0057713C">
        <w:t>cles</w:t>
      </w:r>
      <w:r>
        <w:t xml:space="preserve"> were originally developed to calculate </w:t>
      </w:r>
      <w:r w:rsidRPr="00134FC9">
        <w:t>the lattice enthalpy of an ionic compound using</w:t>
      </w:r>
      <w:r>
        <w:t xml:space="preserve"> </w:t>
      </w:r>
      <w:r w:rsidRPr="00683DE7">
        <w:rPr>
          <w:b/>
          <w:bCs/>
        </w:rPr>
        <w:t>Hess’s law</w:t>
      </w:r>
      <w:r>
        <w:t>.</w:t>
      </w:r>
      <w:r w:rsidRPr="00134FC9">
        <w:t xml:space="preserve"> </w:t>
      </w:r>
      <w:r>
        <w:t xml:space="preserve">For this you need to know the </w:t>
      </w:r>
      <w:r w:rsidRPr="00683DE7">
        <w:rPr>
          <w:b/>
          <w:bCs/>
        </w:rPr>
        <w:t>standard enthalpy change of formation</w:t>
      </w:r>
      <w:r>
        <w:t xml:space="preserve"> as well as </w:t>
      </w:r>
      <w:r w:rsidRPr="00134FC9">
        <w:t xml:space="preserve">the various </w:t>
      </w:r>
      <w:r w:rsidRPr="00683DE7">
        <w:rPr>
          <w:b/>
          <w:bCs/>
        </w:rPr>
        <w:t>enthalpy changes</w:t>
      </w:r>
      <w:r w:rsidRPr="00134FC9">
        <w:t xml:space="preserve"> needed to make the </w:t>
      </w:r>
      <w:r w:rsidRPr="00683DE7">
        <w:rPr>
          <w:b/>
          <w:bCs/>
        </w:rPr>
        <w:t>gaseous ions</w:t>
      </w:r>
      <w:r>
        <w:t xml:space="preserve"> from the elements in their standard states.</w:t>
      </w:r>
    </w:p>
    <w:p w14:paraId="0F8E4521" w14:textId="77777777" w:rsidR="00520A6A" w:rsidRDefault="00520A6A" w:rsidP="00520A6A">
      <w:pPr>
        <w:pStyle w:val="RSCnumberedlist"/>
        <w:numPr>
          <w:ilvl w:val="0"/>
          <w:numId w:val="0"/>
        </w:numPr>
      </w:pPr>
      <w:r>
        <w:t>You can also use these cycles to compare which processes contribute most significantly to the overall stability of the ionic compound.</w:t>
      </w:r>
    </w:p>
    <w:p w14:paraId="5FFEA96D" w14:textId="77777777" w:rsidR="00520A6A" w:rsidRDefault="00520A6A" w:rsidP="00520A6A">
      <w:pPr>
        <w:pStyle w:val="RSCH2"/>
      </w:pPr>
      <w:r>
        <w:t>How to draw a Born–Haber cycle for sodium chloride</w:t>
      </w:r>
    </w:p>
    <w:p w14:paraId="47B69B68" w14:textId="77777777" w:rsidR="00520A6A" w:rsidRDefault="00520A6A" w:rsidP="00520A6A">
      <w:pPr>
        <w:pStyle w:val="RSCBasictext"/>
      </w:pPr>
      <w:r>
        <w:t xml:space="preserve">It’s helpful to draw the cycle as an </w:t>
      </w:r>
      <w:r w:rsidRPr="00683DE7">
        <w:rPr>
          <w:b/>
          <w:bCs/>
        </w:rPr>
        <w:t>enthalpy level diagram</w:t>
      </w:r>
      <w:r>
        <w:t xml:space="preserve"> so that the </w:t>
      </w:r>
      <w:r w:rsidRPr="00683DE7">
        <w:rPr>
          <w:b/>
          <w:bCs/>
        </w:rPr>
        <w:t>endothermic</w:t>
      </w:r>
      <w:r>
        <w:t xml:space="preserve"> and </w:t>
      </w:r>
      <w:r w:rsidRPr="00683DE7">
        <w:rPr>
          <w:b/>
          <w:bCs/>
        </w:rPr>
        <w:t>exothermic</w:t>
      </w:r>
      <w:r>
        <w:t xml:space="preserve"> processes are easily distinguished.</w:t>
      </w:r>
    </w:p>
    <w:p w14:paraId="4374B255" w14:textId="77777777" w:rsidR="00520A6A" w:rsidRPr="009677C3" w:rsidRDefault="00520A6A" w:rsidP="00520A6A">
      <w:pPr>
        <w:pStyle w:val="RSCnumberedlist"/>
      </w:pPr>
      <w:r>
        <w:t>B</w:t>
      </w:r>
      <w:r w:rsidRPr="009677C3">
        <w:t xml:space="preserve">reak the </w:t>
      </w:r>
      <w:r>
        <w:t xml:space="preserve">existing </w:t>
      </w:r>
      <w:r w:rsidRPr="00683DE7">
        <w:rPr>
          <w:b/>
          <w:bCs/>
        </w:rPr>
        <w:t>metallic and covalent bonding</w:t>
      </w:r>
      <w:r w:rsidRPr="009677C3">
        <w:t xml:space="preserve"> </w:t>
      </w:r>
      <w:r>
        <w:t xml:space="preserve">in the elements </w:t>
      </w:r>
      <w:r w:rsidRPr="009677C3">
        <w:t>to form gaseous atoms of the metal and non-metal</w:t>
      </w:r>
      <w:r>
        <w:t>.</w:t>
      </w:r>
    </w:p>
    <w:p w14:paraId="6EEA40A4" w14:textId="77777777" w:rsidR="00520A6A" w:rsidRDefault="00520A6A" w:rsidP="00520A6A">
      <w:pPr>
        <w:pStyle w:val="RSCnumberedlist"/>
      </w:pPr>
      <w:r>
        <w:t xml:space="preserve">Remove the outer electron from the gaseous metal atoms. This is </w:t>
      </w:r>
      <w:r w:rsidRPr="00683DE7">
        <w:rPr>
          <w:b/>
          <w:bCs/>
        </w:rPr>
        <w:t>endothermic</w:t>
      </w:r>
      <w:r>
        <w:t xml:space="preserve"> as you have to work against the attraction of the nucleus to remove an electron.</w:t>
      </w:r>
    </w:p>
    <w:p w14:paraId="2BBEC4A6" w14:textId="77777777" w:rsidR="00520A6A" w:rsidRDefault="00520A6A" w:rsidP="00520A6A">
      <w:pPr>
        <w:pStyle w:val="RSCnumberedlist"/>
      </w:pPr>
      <w:r>
        <w:t xml:space="preserve">Transfer the electron removed from the metal to the gaseous non-metal atoms. This is </w:t>
      </w:r>
      <w:r w:rsidRPr="00683DE7">
        <w:rPr>
          <w:b/>
          <w:bCs/>
        </w:rPr>
        <w:t>exothermic</w:t>
      </w:r>
      <w:r>
        <w:t xml:space="preserve"> as the attraction of the nucleus pulls the additional electron towards the atom.</w:t>
      </w:r>
    </w:p>
    <w:p w14:paraId="508ACB87" w14:textId="77777777" w:rsidR="00520A6A" w:rsidRDefault="00520A6A" w:rsidP="00520A6A">
      <w:pPr>
        <w:pStyle w:val="RSCnumberedlist"/>
      </w:pPr>
      <w:r>
        <w:t xml:space="preserve">Bring the gaseous ions together to form the solid ionic lattice. This is highly </w:t>
      </w:r>
      <w:r w:rsidRPr="00683DE7">
        <w:rPr>
          <w:b/>
          <w:bCs/>
        </w:rPr>
        <w:t>exothermic</w:t>
      </w:r>
      <w:r w:rsidRPr="00134FC9">
        <w:t xml:space="preserve"> </w:t>
      </w:r>
      <w:r>
        <w:t>due to</w:t>
      </w:r>
      <w:r w:rsidRPr="00134FC9">
        <w:t xml:space="preserve"> the</w:t>
      </w:r>
      <w:r>
        <w:t xml:space="preserve"> strong attraction between the ions throughout the crystal.</w:t>
      </w:r>
    </w:p>
    <w:p w14:paraId="77AECEDC" w14:textId="77777777" w:rsidR="00520A6A" w:rsidRDefault="00520A6A" w:rsidP="00520A6A">
      <w:pPr>
        <w:pStyle w:val="RSCnumberedlist"/>
      </w:pPr>
      <w:r>
        <w:t>Complete the cycle by directly connecting the starting elements to the solid ionic compound.</w:t>
      </w:r>
    </w:p>
    <w:p w14:paraId="0842BF71" w14:textId="77777777" w:rsidR="00520A6A" w:rsidRDefault="00520A6A" w:rsidP="00520A6A">
      <w:pPr>
        <w:pStyle w:val="RSCnumberedlist"/>
        <w:numPr>
          <w:ilvl w:val="0"/>
          <w:numId w:val="0"/>
        </w:numPr>
      </w:pPr>
    </w:p>
    <w:p w14:paraId="03B70CB9" w14:textId="77777777" w:rsidR="00520A6A" w:rsidRDefault="00520A6A" w:rsidP="00520A6A">
      <w:pPr>
        <w:pStyle w:val="RSCnumberedlist"/>
        <w:numPr>
          <w:ilvl w:val="0"/>
          <w:numId w:val="0"/>
        </w:numPr>
      </w:pPr>
      <w:r>
        <w:t xml:space="preserve">Larger cycles can also be drawn for the formation of compounds involving 2+ and 2- ions. </w:t>
      </w:r>
    </w:p>
    <w:p w14:paraId="206FD14D" w14:textId="77777777" w:rsidR="00520A6A" w:rsidRDefault="00520A6A" w:rsidP="00520A6A">
      <w:pPr>
        <w:pStyle w:val="RSCH2"/>
      </w:pPr>
      <w:r>
        <w:t>Drawing cycles involving 2+ or 2- ion charges</w:t>
      </w:r>
    </w:p>
    <w:p w14:paraId="7CBD445F" w14:textId="77777777" w:rsidR="00520A6A" w:rsidRDefault="00520A6A" w:rsidP="00520A6A">
      <w:pPr>
        <w:pStyle w:val="RSCBasictext"/>
      </w:pPr>
      <w:r>
        <w:t>All Born–Haber cycles have the same overall structure but you need to modify them if more than one electron is transferred between each metal and non-metal atom.</w:t>
      </w:r>
    </w:p>
    <w:p w14:paraId="03F4E2B5" w14:textId="77777777" w:rsidR="00520A6A" w:rsidRDefault="00520A6A" w:rsidP="00520A6A">
      <w:pPr>
        <w:pStyle w:val="RSCBasictext"/>
      </w:pPr>
      <w:r>
        <w:t>If the metal atom loses two electrons (</w:t>
      </w:r>
      <w:proofErr w:type="spellStart"/>
      <w:r>
        <w:t>eg</w:t>
      </w:r>
      <w:proofErr w:type="spellEnd"/>
      <w:r>
        <w:t xml:space="preserve"> Mg</w:t>
      </w:r>
      <w:r w:rsidRPr="00712C9D">
        <w:rPr>
          <w:vertAlign w:val="superscript"/>
        </w:rPr>
        <w:t>2+</w:t>
      </w:r>
      <w:r>
        <w:t xml:space="preserve">), then add the </w:t>
      </w:r>
      <w:r w:rsidRPr="00D33A9D">
        <w:rPr>
          <w:b/>
          <w:bCs/>
        </w:rPr>
        <w:t>second ionisation energy</w:t>
      </w:r>
      <w:r>
        <w:t xml:space="preserve"> to step 2 after the first ionisation energy.</w:t>
      </w:r>
    </w:p>
    <w:p w14:paraId="64A9E656" w14:textId="77777777" w:rsidR="00520A6A" w:rsidRDefault="00520A6A" w:rsidP="00520A6A">
      <w:pPr>
        <w:pStyle w:val="RSCBasictext"/>
      </w:pPr>
      <w:r>
        <w:t>If the non-metal atom gains two electrons (</w:t>
      </w:r>
      <w:proofErr w:type="spellStart"/>
      <w:r>
        <w:t>eg</w:t>
      </w:r>
      <w:proofErr w:type="spellEnd"/>
      <w:r>
        <w:t xml:space="preserve"> O</w:t>
      </w:r>
      <w:r w:rsidRPr="00712C9D">
        <w:rPr>
          <w:vertAlign w:val="superscript"/>
        </w:rPr>
        <w:t>2-</w:t>
      </w:r>
      <w:r>
        <w:t xml:space="preserve">), then add the </w:t>
      </w:r>
      <w:r w:rsidRPr="00D33A9D">
        <w:rPr>
          <w:b/>
          <w:bCs/>
        </w:rPr>
        <w:t>second electron affinity</w:t>
      </w:r>
      <w:r>
        <w:t xml:space="preserve"> to step 3. Note that, unlike the first electron affinity, it will be </w:t>
      </w:r>
      <w:r w:rsidRPr="003E0E3D">
        <w:rPr>
          <w:b/>
          <w:bCs/>
        </w:rPr>
        <w:t>endothermic</w:t>
      </w:r>
      <w:r>
        <w:t xml:space="preserve"> due to repulsion between the second electron and the negative ion.</w:t>
      </w:r>
    </w:p>
    <w:p w14:paraId="292B82D9" w14:textId="75303469" w:rsidR="00051D7E" w:rsidRPr="005C39AE" w:rsidRDefault="00520A6A" w:rsidP="00311379">
      <w:pPr>
        <w:pStyle w:val="RSCBasictext"/>
      </w:pPr>
      <w:r>
        <w:t>If the formula of the ionic compound has a 1:2 ratio between elements (</w:t>
      </w:r>
      <w:proofErr w:type="spellStart"/>
      <w:r>
        <w:t>eg</w:t>
      </w:r>
      <w:proofErr w:type="spellEnd"/>
      <w:r>
        <w:t xml:space="preserve"> MgCl</w:t>
      </w:r>
      <w:r w:rsidRPr="00DF7F86">
        <w:rPr>
          <w:vertAlign w:val="subscript"/>
        </w:rPr>
        <w:t>2</w:t>
      </w:r>
      <w:r>
        <w:t xml:space="preserve"> or Na</w:t>
      </w:r>
      <w:r w:rsidRPr="00DF7F86">
        <w:rPr>
          <w:vertAlign w:val="subscript"/>
        </w:rPr>
        <w:t>2</w:t>
      </w:r>
      <w:r>
        <w:t>O), then you must double the relevant enthalpy changes in steps 1, 2 or 3.</w:t>
      </w:r>
    </w:p>
    <w:sectPr w:rsidR="00051D7E" w:rsidRPr="005C39AE" w:rsidSect="00F2285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76FD" w14:textId="77777777" w:rsidR="003D4276" w:rsidRDefault="003D4276" w:rsidP="00C51F51">
      <w:r>
        <w:separator/>
      </w:r>
    </w:p>
  </w:endnote>
  <w:endnote w:type="continuationSeparator" w:id="0">
    <w:p w14:paraId="0F02C9E0" w14:textId="77777777" w:rsidR="003D4276" w:rsidRDefault="003D427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2E0D70D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115A7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74AC" w14:textId="77777777" w:rsidR="003D4276" w:rsidRDefault="003D4276" w:rsidP="00C51F51">
      <w:r>
        <w:separator/>
      </w:r>
    </w:p>
  </w:footnote>
  <w:footnote w:type="continuationSeparator" w:id="0">
    <w:p w14:paraId="34E7D73F" w14:textId="77777777" w:rsidR="003D4276" w:rsidRDefault="003D427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6AE6814F" w:rsidR="003D4276" w:rsidRDefault="003305D3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6191" behindDoc="0" locked="0" layoutInCell="1" allowOverlap="1" wp14:anchorId="6B6BE617" wp14:editId="10EB5C60">
          <wp:simplePos x="0" y="0"/>
          <wp:positionH relativeFrom="column">
            <wp:posOffset>-596900</wp:posOffset>
          </wp:positionH>
          <wp:positionV relativeFrom="page">
            <wp:posOffset>247650</wp:posOffset>
          </wp:positionV>
          <wp:extent cx="1938020" cy="520700"/>
          <wp:effectExtent l="0" t="0" r="0" b="0"/>
          <wp:wrapNone/>
          <wp:docPr id="2" name="Picture 2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276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21F6B0B8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A6A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3D427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3D4276"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7EC5B146" w:rsidR="003D4276" w:rsidRPr="00A56431" w:rsidRDefault="00A27356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520A6A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520A6A" w:rsidRPr="00520A6A">
        <w:rPr>
          <w:rStyle w:val="Hyperlink"/>
          <w:rFonts w:ascii="Century Gothic" w:hAnsi="Century Gothic"/>
          <w:b/>
          <w:bCs/>
          <w:sz w:val="18"/>
          <w:szCs w:val="18"/>
        </w:rPr>
        <w:t>rsc.li/3gZ9NHX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872">
    <w:abstractNumId w:val="0"/>
  </w:num>
  <w:num w:numId="2" w16cid:durableId="749421728">
    <w:abstractNumId w:val="4"/>
  </w:num>
  <w:num w:numId="3" w16cid:durableId="939026252">
    <w:abstractNumId w:val="9"/>
  </w:num>
  <w:num w:numId="4" w16cid:durableId="1444573029">
    <w:abstractNumId w:val="6"/>
  </w:num>
  <w:num w:numId="5" w16cid:durableId="109206190">
    <w:abstractNumId w:val="1"/>
  </w:num>
  <w:num w:numId="6" w16cid:durableId="821968132">
    <w:abstractNumId w:val="2"/>
  </w:num>
  <w:num w:numId="7" w16cid:durableId="1324427305">
    <w:abstractNumId w:val="2"/>
    <w:lvlOverride w:ilvl="0">
      <w:startOverride w:val="1"/>
    </w:lvlOverride>
  </w:num>
  <w:num w:numId="8" w16cid:durableId="1875925452">
    <w:abstractNumId w:val="5"/>
    <w:lvlOverride w:ilvl="0">
      <w:startOverride w:val="2"/>
    </w:lvlOverride>
  </w:num>
  <w:num w:numId="9" w16cid:durableId="610862974">
    <w:abstractNumId w:val="2"/>
    <w:lvlOverride w:ilvl="0">
      <w:startOverride w:val="1"/>
    </w:lvlOverride>
  </w:num>
  <w:num w:numId="10" w16cid:durableId="692650027">
    <w:abstractNumId w:val="3"/>
  </w:num>
  <w:num w:numId="11" w16cid:durableId="114298545">
    <w:abstractNumId w:val="3"/>
    <w:lvlOverride w:ilvl="0">
      <w:startOverride w:val="2"/>
    </w:lvlOverride>
  </w:num>
  <w:num w:numId="12" w16cid:durableId="523785215">
    <w:abstractNumId w:val="8"/>
  </w:num>
  <w:num w:numId="13" w16cid:durableId="412236989">
    <w:abstractNumId w:val="11"/>
  </w:num>
  <w:num w:numId="14" w16cid:durableId="1587377645">
    <w:abstractNumId w:val="3"/>
    <w:lvlOverride w:ilvl="0">
      <w:startOverride w:val="2"/>
    </w:lvlOverride>
  </w:num>
  <w:num w:numId="15" w16cid:durableId="1083452393">
    <w:abstractNumId w:val="2"/>
    <w:lvlOverride w:ilvl="0">
      <w:startOverride w:val="1"/>
    </w:lvlOverride>
  </w:num>
  <w:num w:numId="16" w16cid:durableId="1707365405">
    <w:abstractNumId w:val="3"/>
    <w:lvlOverride w:ilvl="0">
      <w:startOverride w:val="1"/>
    </w:lvlOverride>
  </w:num>
  <w:num w:numId="17" w16cid:durableId="829178666">
    <w:abstractNumId w:val="7"/>
  </w:num>
  <w:num w:numId="18" w16cid:durableId="188451688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1D7E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559"/>
    <w:rsid w:val="000F1532"/>
    <w:rsid w:val="000F3C7E"/>
    <w:rsid w:val="000F4A39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4B56"/>
    <w:rsid w:val="00170FA5"/>
    <w:rsid w:val="001714D0"/>
    <w:rsid w:val="001806ED"/>
    <w:rsid w:val="001831DC"/>
    <w:rsid w:val="00184B61"/>
    <w:rsid w:val="00185427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7D80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54E1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2DDC"/>
    <w:rsid w:val="00314EDA"/>
    <w:rsid w:val="003161DC"/>
    <w:rsid w:val="00316B59"/>
    <w:rsid w:val="00320E4D"/>
    <w:rsid w:val="003234B7"/>
    <w:rsid w:val="00324BA5"/>
    <w:rsid w:val="00325444"/>
    <w:rsid w:val="003305D3"/>
    <w:rsid w:val="003306A0"/>
    <w:rsid w:val="00330E9E"/>
    <w:rsid w:val="00331CCB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D56"/>
    <w:rsid w:val="00367470"/>
    <w:rsid w:val="00367A2D"/>
    <w:rsid w:val="00376E7E"/>
    <w:rsid w:val="003811A9"/>
    <w:rsid w:val="00383B18"/>
    <w:rsid w:val="003845BF"/>
    <w:rsid w:val="00392607"/>
    <w:rsid w:val="0039430F"/>
    <w:rsid w:val="003946FE"/>
    <w:rsid w:val="00394A9D"/>
    <w:rsid w:val="00395AD5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4A1"/>
    <w:rsid w:val="00447805"/>
    <w:rsid w:val="00451A34"/>
    <w:rsid w:val="0045569A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206B"/>
    <w:rsid w:val="005031DB"/>
    <w:rsid w:val="00512EF1"/>
    <w:rsid w:val="005153EA"/>
    <w:rsid w:val="00517ED5"/>
    <w:rsid w:val="00520A6A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13C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F39DD"/>
    <w:rsid w:val="005F6D0F"/>
    <w:rsid w:val="00601146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F374B"/>
    <w:rsid w:val="007F4099"/>
    <w:rsid w:val="007F76F2"/>
    <w:rsid w:val="00802588"/>
    <w:rsid w:val="00806C05"/>
    <w:rsid w:val="00810732"/>
    <w:rsid w:val="00812B52"/>
    <w:rsid w:val="008145E1"/>
    <w:rsid w:val="0081506D"/>
    <w:rsid w:val="0081598F"/>
    <w:rsid w:val="00822C62"/>
    <w:rsid w:val="00823831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618F3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4C77"/>
    <w:rsid w:val="00887802"/>
    <w:rsid w:val="008940CB"/>
    <w:rsid w:val="008960EA"/>
    <w:rsid w:val="008969E1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27356"/>
    <w:rsid w:val="00A313DA"/>
    <w:rsid w:val="00A31E3F"/>
    <w:rsid w:val="00A33366"/>
    <w:rsid w:val="00A356F4"/>
    <w:rsid w:val="00A429D0"/>
    <w:rsid w:val="00A4551D"/>
    <w:rsid w:val="00A4560F"/>
    <w:rsid w:val="00A52872"/>
    <w:rsid w:val="00A52FD2"/>
    <w:rsid w:val="00A54153"/>
    <w:rsid w:val="00A56431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5F0D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40"/>
    <w:rsid w:val="00D025E5"/>
    <w:rsid w:val="00D03D0E"/>
    <w:rsid w:val="00D046A0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4DC2"/>
    <w:rsid w:val="00D56520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3659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A02"/>
    <w:rsid w:val="00EF7364"/>
    <w:rsid w:val="00F00B0D"/>
    <w:rsid w:val="00F023F4"/>
    <w:rsid w:val="00F0720C"/>
    <w:rsid w:val="00F1032B"/>
    <w:rsid w:val="00F10C80"/>
    <w:rsid w:val="00F21826"/>
    <w:rsid w:val="00F22856"/>
    <w:rsid w:val="00F2296C"/>
    <w:rsid w:val="00F30A9F"/>
    <w:rsid w:val="00F31BB0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gZ9NHX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c4a1134a-ec95-48d0-8411-392686591e19"/>
    <ds:schemaRef ds:uri="a9c5b8cb-8b3b-4b00-8e13-e0891dd65cf1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7</TotalTime>
  <Pages>1</Pages>
  <Words>384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Born–Haber cycles fact sheet</dc:title>
  <dc:subject/>
  <dc:creator>Royal Society Of Chemistry</dc:creator>
  <cp:keywords>Born–Haber; ionisation; enthalpy; Hess's law; exothermic; endothermic</cp:keywords>
  <dc:description>From Mastering the Born–Haber cycle, Education in Chemistry, rsc.li/3gZ9NHX</dc:description>
  <cp:lastModifiedBy>Lisa Clatworthy</cp:lastModifiedBy>
  <cp:revision>5</cp:revision>
  <cp:lastPrinted>2012-04-18T08:40:00Z</cp:lastPrinted>
  <dcterms:created xsi:type="dcterms:W3CDTF">2022-10-31T13:32:00Z</dcterms:created>
  <dcterms:modified xsi:type="dcterms:W3CDTF">2022-11-09T10:50:00Z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