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7BC44" w14:textId="2D7AD679" w:rsidR="00B812B1" w:rsidRPr="00B812B1" w:rsidRDefault="00BF7CBA" w:rsidP="00B812B1">
      <w:pPr>
        <w:pStyle w:val="RSCH1"/>
      </w:pPr>
      <w:r w:rsidRPr="00BF7CBA">
        <w:t>Demonstrating the chameleon redox reaction with a lollipop</w:t>
      </w:r>
    </w:p>
    <w:p w14:paraId="672E4F7F" w14:textId="24E7A31B" w:rsidR="00B812B1" w:rsidRPr="00B812B1" w:rsidRDefault="00B812B1" w:rsidP="00B812B1">
      <w:pPr>
        <w:pStyle w:val="RSCBasictext"/>
      </w:pPr>
      <w:r w:rsidRPr="00B812B1">
        <w:t>This resource accompanies the article</w:t>
      </w:r>
      <w:r w:rsidRPr="00B812B1">
        <w:rPr>
          <w:b/>
          <w:bCs/>
        </w:rPr>
        <w:t xml:space="preserve"> </w:t>
      </w:r>
      <w:r w:rsidR="00BF7CBA">
        <w:rPr>
          <w:b/>
          <w:bCs/>
        </w:rPr>
        <w:t>Eye candy</w:t>
      </w:r>
      <w:r w:rsidRPr="00B812B1">
        <w:t xml:space="preserve"> in </w:t>
      </w:r>
      <w:r w:rsidRPr="00BF7CBA">
        <w:rPr>
          <w:i/>
          <w:iCs/>
        </w:rPr>
        <w:t>Education in Chemistry</w:t>
      </w:r>
      <w:r w:rsidRPr="00B812B1">
        <w:t xml:space="preserve"> which can be viewed at: </w:t>
      </w:r>
      <w:hyperlink r:id="rId7" w:history="1">
        <w:r w:rsidR="00BF7CBA" w:rsidRPr="0047745C">
          <w:rPr>
            <w:rStyle w:val="Hyperlink"/>
          </w:rPr>
          <w:t>https://rsc.li/3XRLtbN</w:t>
        </w:r>
      </w:hyperlink>
      <w:r w:rsidR="00BF7CBA">
        <w:t xml:space="preserve"> </w:t>
      </w:r>
    </w:p>
    <w:p w14:paraId="31CEAE5D" w14:textId="77777777" w:rsidR="00B812B1" w:rsidRPr="00B812B1" w:rsidRDefault="00B812B1" w:rsidP="00B812B1"/>
    <w:p w14:paraId="79436A0A" w14:textId="6885EEE9" w:rsidR="00466630" w:rsidRPr="00B812B1" w:rsidRDefault="00466630" w:rsidP="00466630">
      <w:pPr>
        <w:pStyle w:val="RSCBasictext"/>
      </w:pPr>
      <w:r w:rsidRPr="00BF7CBA">
        <w:t xml:space="preserve">I’m a sucker for sugar-related chemistry. It’s been eight years since I developed my optimised version of Beyond the blue bottle demonstration that relies on the reducing power of glucose. This reaction remains one of my most-commonly performed demonstrations. So, when Marisa </w:t>
      </w:r>
      <w:proofErr w:type="spellStart"/>
      <w:r w:rsidRPr="00BF7CBA">
        <w:t>Prolongo</w:t>
      </w:r>
      <w:proofErr w:type="spellEnd"/>
      <w:r w:rsidRPr="00BF7CBA">
        <w:t xml:space="preserve"> and Gabriel Pinto shared their idea to use a lollipop to reduce manganate(VII) through a range of colourful oxidation states (a variation of the reaction sometimes referred to as the chameleon), I knew I had to give it a try</w:t>
      </w:r>
      <w:r w:rsidR="00CC2E20">
        <w:t xml:space="preserve"> …</w:t>
      </w:r>
    </w:p>
    <w:p w14:paraId="76BCA9E1" w14:textId="77777777" w:rsidR="00B812B1" w:rsidRPr="00B812B1" w:rsidRDefault="00B812B1" w:rsidP="00B812B1">
      <w:pPr>
        <w:pStyle w:val="RSCH3"/>
      </w:pPr>
      <w:r w:rsidRPr="00B812B1">
        <w:t>Equipment</w:t>
      </w:r>
    </w:p>
    <w:p w14:paraId="50B591F6" w14:textId="2D52E5CC" w:rsidR="00466630" w:rsidRPr="000B6117" w:rsidRDefault="00466630" w:rsidP="00466630">
      <w:pPr>
        <w:pStyle w:val="RSCBulletedlist"/>
      </w:pPr>
      <w:r w:rsidRPr="000B6117">
        <w:t>200 cm</w:t>
      </w:r>
      <w:r w:rsidRPr="00466630">
        <w:rPr>
          <w:vertAlign w:val="superscript"/>
        </w:rPr>
        <w:t>3</w:t>
      </w:r>
      <w:r w:rsidRPr="000B6117">
        <w:t>, 0.1M sodium hydroxide solution</w:t>
      </w:r>
    </w:p>
    <w:p w14:paraId="60AD6A80" w14:textId="77777777" w:rsidR="00466630" w:rsidRPr="000B6117" w:rsidRDefault="00466630" w:rsidP="00466630">
      <w:pPr>
        <w:pStyle w:val="RSCBulletedlist"/>
      </w:pPr>
      <w:r w:rsidRPr="000B6117">
        <w:sym w:font="Symbol" w:char="F0BB"/>
      </w:r>
      <w:r w:rsidRPr="000B6117">
        <w:t xml:space="preserve"> 0.02 g (a micro-spatula tip) of potassium manganate(VII) (Note: oxidising, harmful, dangerous for the environment)</w:t>
      </w:r>
    </w:p>
    <w:p w14:paraId="77DB8C0F" w14:textId="77777777" w:rsidR="00466630" w:rsidRPr="000B6117" w:rsidRDefault="00466630" w:rsidP="00466630">
      <w:pPr>
        <w:pStyle w:val="RSCBulletedlist"/>
      </w:pPr>
      <w:r w:rsidRPr="000B6117">
        <w:t>Lollipop or candy cane made from any reducing sugar (glucose, fructose, etc)</w:t>
      </w:r>
    </w:p>
    <w:p w14:paraId="3C991A4E" w14:textId="77777777" w:rsidR="00466630" w:rsidRPr="000B6117" w:rsidRDefault="00466630" w:rsidP="00466630">
      <w:pPr>
        <w:pStyle w:val="RSCBulletedlist"/>
      </w:pPr>
      <w:r w:rsidRPr="000B6117">
        <w:t xml:space="preserve">Handheld battery-operated milk </w:t>
      </w:r>
      <w:proofErr w:type="spellStart"/>
      <w:r w:rsidRPr="000B6117">
        <w:t>frother</w:t>
      </w:r>
      <w:proofErr w:type="spellEnd"/>
      <w:r w:rsidRPr="000B6117">
        <w:t xml:space="preserve"> or magnetic stirrer</w:t>
      </w:r>
    </w:p>
    <w:p w14:paraId="5892E9BE" w14:textId="77777777" w:rsidR="00466630" w:rsidRPr="000B6117" w:rsidRDefault="00466630" w:rsidP="00466630">
      <w:pPr>
        <w:pStyle w:val="RSCBulletedlist"/>
      </w:pPr>
      <w:r w:rsidRPr="000B6117">
        <w:t>Clamp and stand</w:t>
      </w:r>
    </w:p>
    <w:p w14:paraId="64489CD5" w14:textId="161D835E" w:rsidR="00466630" w:rsidRPr="00B812B1" w:rsidRDefault="00466630" w:rsidP="00466630">
      <w:pPr>
        <w:pStyle w:val="RSCBulletedlist"/>
      </w:pPr>
      <w:r w:rsidRPr="000B6117">
        <w:t>250 cm</w:t>
      </w:r>
      <w:r w:rsidRPr="000B6117">
        <w:rPr>
          <w:vertAlign w:val="superscript"/>
        </w:rPr>
        <w:t>3</w:t>
      </w:r>
      <w:r w:rsidRPr="000B6117">
        <w:t xml:space="preserve"> conical flask</w:t>
      </w:r>
    </w:p>
    <w:p w14:paraId="7066FE00" w14:textId="1563FB4A" w:rsidR="00B812B1" w:rsidRPr="00B812B1" w:rsidRDefault="00CC2E20" w:rsidP="00CC2E20">
      <w:pPr>
        <w:pStyle w:val="RSCH2"/>
      </w:pPr>
      <w:r>
        <w:t>Preparation</w:t>
      </w:r>
    </w:p>
    <w:p w14:paraId="12878F6D" w14:textId="77777777" w:rsidR="00CC2E20" w:rsidRPr="000B6117" w:rsidRDefault="00CC2E20" w:rsidP="00CC2E20">
      <w:pPr>
        <w:rPr>
          <w:rFonts w:ascii="Century Gothic" w:hAnsi="Century Gothic"/>
          <w:sz w:val="22"/>
          <w:szCs w:val="22"/>
        </w:rPr>
      </w:pPr>
      <w:r w:rsidRPr="000B6117">
        <w:rPr>
          <w:rFonts w:ascii="Century Gothic" w:hAnsi="Century Gothic"/>
          <w:sz w:val="22"/>
          <w:szCs w:val="22"/>
        </w:rPr>
        <w:t xml:space="preserve">The colour of the lollipop doesn’t seem to have a significant impact on the colour of the solution, but if you use purple or white one, this may mean students won’t get confused about the food colouring causing the colour changes. Fix the lollipop stick to the arm of the </w:t>
      </w:r>
      <w:proofErr w:type="spellStart"/>
      <w:r w:rsidRPr="000B6117">
        <w:rPr>
          <w:rFonts w:ascii="Century Gothic" w:hAnsi="Century Gothic"/>
          <w:sz w:val="22"/>
          <w:szCs w:val="22"/>
        </w:rPr>
        <w:t>frother</w:t>
      </w:r>
      <w:proofErr w:type="spellEnd"/>
      <w:r w:rsidRPr="000B6117">
        <w:rPr>
          <w:rFonts w:ascii="Century Gothic" w:hAnsi="Century Gothic"/>
          <w:sz w:val="22"/>
          <w:szCs w:val="22"/>
        </w:rPr>
        <w:t xml:space="preserve"> –nestle the ball of the lollipop head in the circular whisk head to support it as it rotates (</w:t>
      </w:r>
      <w:r w:rsidRPr="000B6117">
        <w:rPr>
          <w:rFonts w:ascii="Century Gothic" w:hAnsi="Century Gothic"/>
          <w:sz w:val="22"/>
          <w:szCs w:val="22"/>
        </w:rPr>
        <w:fldChar w:fldCharType="begin"/>
      </w:r>
      <w:r w:rsidRPr="000B6117">
        <w:rPr>
          <w:rFonts w:ascii="Century Gothic" w:hAnsi="Century Gothic"/>
          <w:sz w:val="22"/>
          <w:szCs w:val="22"/>
        </w:rPr>
        <w:instrText xml:space="preserve"> REF _Ref118380315 \h </w:instrText>
      </w:r>
      <w:r w:rsidRPr="000B6117">
        <w:rPr>
          <w:rFonts w:ascii="Century Gothic" w:hAnsi="Century Gothic"/>
          <w:sz w:val="22"/>
          <w:szCs w:val="22"/>
        </w:rPr>
      </w:r>
      <w:r w:rsidRPr="000B6117">
        <w:rPr>
          <w:rFonts w:ascii="Century Gothic" w:hAnsi="Century Gothic"/>
          <w:sz w:val="22"/>
          <w:szCs w:val="22"/>
        </w:rPr>
        <w:instrText xml:space="preserve"> \* MERGEFORMAT </w:instrText>
      </w:r>
      <w:r w:rsidRPr="000B6117">
        <w:rPr>
          <w:rFonts w:ascii="Century Gothic" w:hAnsi="Century Gothic"/>
          <w:sz w:val="22"/>
          <w:szCs w:val="22"/>
        </w:rPr>
        <w:fldChar w:fldCharType="separate"/>
      </w:r>
      <w:r w:rsidRPr="000B6117">
        <w:rPr>
          <w:rFonts w:ascii="Century Gothic" w:hAnsi="Century Gothic"/>
          <w:sz w:val="22"/>
          <w:szCs w:val="22"/>
        </w:rPr>
        <w:t>Figure 1</w:t>
      </w:r>
      <w:r w:rsidRPr="000B6117">
        <w:rPr>
          <w:rFonts w:ascii="Century Gothic" w:hAnsi="Century Gothic"/>
          <w:sz w:val="22"/>
          <w:szCs w:val="22"/>
        </w:rPr>
        <w:fldChar w:fldCharType="end"/>
      </w:r>
      <w:r w:rsidRPr="000B6117">
        <w:rPr>
          <w:rFonts w:ascii="Century Gothic" w:hAnsi="Century Gothic"/>
          <w:sz w:val="22"/>
          <w:szCs w:val="22"/>
        </w:rPr>
        <w:t xml:space="preserve">). Clamp the handle of the </w:t>
      </w:r>
      <w:proofErr w:type="spellStart"/>
      <w:r w:rsidRPr="000B6117">
        <w:rPr>
          <w:rFonts w:ascii="Century Gothic" w:hAnsi="Century Gothic"/>
          <w:sz w:val="22"/>
          <w:szCs w:val="22"/>
        </w:rPr>
        <w:t>frother</w:t>
      </w:r>
      <w:proofErr w:type="spellEnd"/>
      <w:r w:rsidRPr="000B6117">
        <w:rPr>
          <w:rFonts w:ascii="Century Gothic" w:hAnsi="Century Gothic"/>
          <w:sz w:val="22"/>
          <w:szCs w:val="22"/>
        </w:rPr>
        <w:t xml:space="preserve"> firmly and check the clamp remains stable when the whisk is operating.</w:t>
      </w:r>
    </w:p>
    <w:p w14:paraId="75961446" w14:textId="77777777" w:rsidR="00CC2E20" w:rsidRPr="00CC2E20" w:rsidRDefault="00CC2E20" w:rsidP="00CC2E20">
      <w:pPr>
        <w:rPr>
          <w:rFonts w:ascii="Century Gothic" w:hAnsi="Century Gothic"/>
          <w:sz w:val="22"/>
          <w:szCs w:val="22"/>
        </w:rPr>
      </w:pPr>
      <w:r w:rsidRPr="000B6117">
        <w:rPr>
          <w:rFonts w:ascii="Century Gothic" w:hAnsi="Century Gothic"/>
          <w:sz w:val="22"/>
          <w:szCs w:val="22"/>
        </w:rPr>
        <w:t>Because the alkaline solution of manganate(VII) is not stable, ensure you create the solution for this reaction in front of the class.</w:t>
      </w:r>
    </w:p>
    <w:p w14:paraId="6CFA44CC" w14:textId="56BD1EA8" w:rsidR="00CC2E20" w:rsidRPr="00B812B1" w:rsidRDefault="00CC2E20" w:rsidP="00CC2E20">
      <w:pPr>
        <w:pStyle w:val="RSCH2"/>
      </w:pPr>
      <w:r>
        <w:t>In front of the class</w:t>
      </w:r>
    </w:p>
    <w:p w14:paraId="7F1BE189" w14:textId="27B762AB" w:rsidR="00CC2E20" w:rsidRDefault="00CC2E20" w:rsidP="00CC2E20">
      <w:pPr>
        <w:rPr>
          <w:rFonts w:ascii="Century Gothic" w:hAnsi="Century Gothic"/>
          <w:sz w:val="22"/>
          <w:szCs w:val="22"/>
        </w:rPr>
      </w:pPr>
      <w:r w:rsidRPr="000B6117">
        <w:rPr>
          <w:rFonts w:ascii="Century Gothic" w:hAnsi="Century Gothic"/>
          <w:sz w:val="22"/>
          <w:szCs w:val="22"/>
        </w:rPr>
        <w:t>Wear eye protection. Add approximately 200 cm</w:t>
      </w:r>
      <w:r w:rsidRPr="000B6117">
        <w:rPr>
          <w:rFonts w:ascii="Century Gothic" w:hAnsi="Century Gothic"/>
          <w:sz w:val="22"/>
          <w:szCs w:val="22"/>
          <w:vertAlign w:val="superscript"/>
        </w:rPr>
        <w:t>3</w:t>
      </w:r>
      <w:r w:rsidRPr="000B6117">
        <w:rPr>
          <w:rFonts w:ascii="Century Gothic" w:hAnsi="Century Gothic"/>
          <w:sz w:val="22"/>
          <w:szCs w:val="22"/>
        </w:rPr>
        <w:t xml:space="preserve"> of 0.1M sodium hydroxide solution to the 250 cm</w:t>
      </w:r>
      <w:r w:rsidRPr="000B6117">
        <w:rPr>
          <w:rFonts w:ascii="Century Gothic" w:hAnsi="Century Gothic"/>
          <w:sz w:val="22"/>
          <w:szCs w:val="22"/>
          <w:vertAlign w:val="superscript"/>
        </w:rPr>
        <w:t>3</w:t>
      </w:r>
      <w:r w:rsidRPr="000B6117">
        <w:rPr>
          <w:rFonts w:ascii="Century Gothic" w:hAnsi="Century Gothic"/>
          <w:sz w:val="22"/>
          <w:szCs w:val="22"/>
        </w:rPr>
        <w:t xml:space="preserve"> conical flask. </w:t>
      </w:r>
      <w:r w:rsidR="009F5A9D" w:rsidRPr="009F5A9D">
        <w:rPr>
          <w:rFonts w:ascii="Century Gothic" w:hAnsi="Century Gothic"/>
          <w:sz w:val="22"/>
          <w:szCs w:val="22"/>
        </w:rPr>
        <w:t xml:space="preserve">Add a </w:t>
      </w:r>
      <w:r w:rsidR="009F5A9D" w:rsidRPr="009F5A9D">
        <w:rPr>
          <w:rFonts w:ascii="Century Gothic" w:hAnsi="Century Gothic"/>
          <w:sz w:val="22"/>
          <w:szCs w:val="22"/>
        </w:rPr>
        <w:t>micro spatula</w:t>
      </w:r>
      <w:r w:rsidR="009F5A9D" w:rsidRPr="009F5A9D">
        <w:rPr>
          <w:rFonts w:ascii="Century Gothic" w:hAnsi="Century Gothic"/>
          <w:sz w:val="22"/>
          <w:szCs w:val="22"/>
        </w:rPr>
        <w:t xml:space="preserve"> or splint tip of the potassium manganate(VII) to the sodium hydroxide solution. </w:t>
      </w:r>
      <w:r w:rsidRPr="000B6117">
        <w:rPr>
          <w:rFonts w:ascii="Century Gothic" w:hAnsi="Century Gothic"/>
          <w:sz w:val="22"/>
          <w:szCs w:val="22"/>
        </w:rPr>
        <w:t>Dip the head of the lollipop into the solution and activate the stirrer function to rotate the lollipop. The solution will quickly turn blue, and then green, yellow, and eventually orange over the next five minutes.</w:t>
      </w:r>
    </w:p>
    <w:p w14:paraId="1F686FE7" w14:textId="0499BC86" w:rsidR="00CC2E20" w:rsidRDefault="00CC2E20" w:rsidP="00CC2E20">
      <w:pPr>
        <w:rPr>
          <w:rFonts w:ascii="Century Gothic" w:hAnsi="Century Gothic"/>
          <w:sz w:val="22"/>
          <w:szCs w:val="22"/>
        </w:rPr>
      </w:pPr>
    </w:p>
    <w:p w14:paraId="18E21EB9" w14:textId="655DE567" w:rsidR="00CC2E20" w:rsidRPr="00CC2E20" w:rsidRDefault="00CC2E20" w:rsidP="00634A37">
      <w:pPr>
        <w:jc w:val="center"/>
        <w:rPr>
          <w:rFonts w:ascii="Century Gothic" w:hAnsi="Century Gothic"/>
          <w:sz w:val="22"/>
          <w:szCs w:val="22"/>
        </w:rPr>
      </w:pPr>
      <w:r>
        <w:rPr>
          <w:noProof/>
        </w:rPr>
        <w:drawing>
          <wp:inline distT="0" distB="0" distL="0" distR="0" wp14:anchorId="40570CF9" wp14:editId="0A2BFACB">
            <wp:extent cx="1358199" cy="184785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6693" cy="1859406"/>
                    </a:xfrm>
                    <a:prstGeom prst="rect">
                      <a:avLst/>
                    </a:prstGeom>
                    <a:noFill/>
                    <a:ln>
                      <a:noFill/>
                    </a:ln>
                  </pic:spPr>
                </pic:pic>
              </a:graphicData>
            </a:graphic>
          </wp:inline>
        </w:drawing>
      </w:r>
    </w:p>
    <w:p w14:paraId="2CAB193B" w14:textId="519BC6AA" w:rsidR="00CC2E20" w:rsidRPr="00B812B1" w:rsidRDefault="00CC2E20" w:rsidP="00CC2E20">
      <w:pPr>
        <w:pStyle w:val="RSCH2"/>
      </w:pPr>
      <w:r>
        <w:t>Teaching goal</w:t>
      </w:r>
    </w:p>
    <w:p w14:paraId="04B79466" w14:textId="77777777" w:rsidR="00CC2E20" w:rsidRPr="000B6117" w:rsidRDefault="00CC2E20" w:rsidP="00CC2E20">
      <w:pPr>
        <w:rPr>
          <w:rFonts w:ascii="Century Gothic" w:hAnsi="Century Gothic"/>
          <w:sz w:val="22"/>
          <w:szCs w:val="22"/>
        </w:rPr>
      </w:pPr>
      <w:r w:rsidRPr="000B6117">
        <w:rPr>
          <w:rFonts w:ascii="Century Gothic" w:hAnsi="Century Gothic"/>
          <w:sz w:val="22"/>
          <w:szCs w:val="22"/>
        </w:rPr>
        <w:t xml:space="preserve">This reaction is a suitable introduction to self-indicating redox titrations. The classic version of this type of reaction is the one used to determine iron content with a solution containing acidified potassium manganate(VII). </w:t>
      </w:r>
    </w:p>
    <w:p w14:paraId="11C4BA64" w14:textId="77777777" w:rsidR="00CC2E20" w:rsidRPr="000B6117" w:rsidRDefault="00CC2E20" w:rsidP="00CC2E20">
      <w:pPr>
        <w:rPr>
          <w:rFonts w:ascii="Century Gothic" w:hAnsi="Century Gothic"/>
          <w:sz w:val="22"/>
          <w:szCs w:val="22"/>
        </w:rPr>
      </w:pPr>
      <w:r w:rsidRPr="000B6117">
        <w:rPr>
          <w:rFonts w:ascii="Century Gothic" w:hAnsi="Century Gothic"/>
          <w:sz w:val="22"/>
          <w:szCs w:val="22"/>
        </w:rPr>
        <w:t>In the classic reaction, the iron(II) ion can reduce manganese all the way down to manganese(II), but this lollipop demonstration stops at MnO</w:t>
      </w:r>
      <w:r w:rsidRPr="000B6117">
        <w:rPr>
          <w:rFonts w:ascii="Century Gothic" w:hAnsi="Century Gothic"/>
          <w:sz w:val="22"/>
          <w:szCs w:val="22"/>
          <w:vertAlign w:val="subscript"/>
        </w:rPr>
        <w:t>2</w:t>
      </w:r>
      <w:r w:rsidRPr="000B6117">
        <w:rPr>
          <w:rFonts w:ascii="Century Gothic" w:hAnsi="Century Gothic"/>
          <w:sz w:val="22"/>
          <w:szCs w:val="22"/>
        </w:rPr>
        <w:t xml:space="preserve"> (with manganese in a +4 oxidation state).</w:t>
      </w:r>
    </w:p>
    <w:p w14:paraId="432F3DAF" w14:textId="7CF5EFBD" w:rsidR="00CC2E20" w:rsidRPr="000B6117" w:rsidRDefault="00CC2E20" w:rsidP="00CC2E20">
      <w:pPr>
        <w:rPr>
          <w:rFonts w:ascii="Century Gothic" w:hAnsi="Century Gothic"/>
          <w:sz w:val="22"/>
          <w:szCs w:val="22"/>
        </w:rPr>
      </w:pPr>
      <w:r w:rsidRPr="000B6117">
        <w:rPr>
          <w:rFonts w:ascii="Century Gothic" w:hAnsi="Century Gothic"/>
          <w:sz w:val="22"/>
          <w:szCs w:val="22"/>
        </w:rPr>
        <w:t>Students can practise formulating and balancing the relevant redox reactions, see examples in both alkaline and acidic conditions, and recognise the difference between MnO</w:t>
      </w:r>
      <w:r w:rsidRPr="000B6117">
        <w:rPr>
          <w:rFonts w:ascii="Century Gothic" w:hAnsi="Century Gothic"/>
          <w:sz w:val="22"/>
          <w:szCs w:val="22"/>
          <w:vertAlign w:val="subscript"/>
        </w:rPr>
        <w:t>2</w:t>
      </w:r>
      <w:r w:rsidRPr="000B6117">
        <w:rPr>
          <w:rFonts w:ascii="Century Gothic" w:hAnsi="Century Gothic"/>
          <w:sz w:val="22"/>
          <w:szCs w:val="22"/>
        </w:rPr>
        <w:t xml:space="preserve"> and Mn(II). I’ve found this has caused some confusion for my students when answering exam questions, because both oxidation states can appear (seen in other examples, such as </w:t>
      </w:r>
      <w:r w:rsidRPr="00CC2E20">
        <w:rPr>
          <w:rFonts w:ascii="Century Gothic" w:hAnsi="Century Gothic"/>
          <w:sz w:val="22"/>
          <w:szCs w:val="22"/>
        </w:rPr>
        <w:t>the ‘genie in the bottle’ reaction</w:t>
      </w:r>
      <w:r w:rsidRPr="000B6117">
        <w:rPr>
          <w:rFonts w:ascii="Century Gothic" w:hAnsi="Century Gothic"/>
          <w:sz w:val="22"/>
          <w:szCs w:val="22"/>
        </w:rPr>
        <w:t>).</w:t>
      </w:r>
    </w:p>
    <w:p w14:paraId="065E34A0" w14:textId="77777777" w:rsidR="00CC2E20" w:rsidRPr="000B6117" w:rsidRDefault="00CC2E20" w:rsidP="00CC2E20">
      <w:pPr>
        <w:rPr>
          <w:rFonts w:ascii="Century Gothic" w:hAnsi="Century Gothic"/>
          <w:sz w:val="22"/>
          <w:szCs w:val="22"/>
        </w:rPr>
      </w:pPr>
    </w:p>
    <w:p w14:paraId="67158DA1" w14:textId="77777777" w:rsidR="00CC2E20" w:rsidRPr="000B6117" w:rsidRDefault="00CC2E20" w:rsidP="00CC2E20">
      <w:pPr>
        <w:jc w:val="center"/>
        <w:rPr>
          <w:rFonts w:ascii="Century Gothic" w:hAnsi="Century Gothic"/>
          <w:sz w:val="22"/>
          <w:szCs w:val="22"/>
        </w:rPr>
      </w:pPr>
      <w:r w:rsidRPr="000B6117">
        <w:rPr>
          <w:rFonts w:ascii="Century Gothic" w:hAnsi="Century Gothic"/>
          <w:noProof/>
          <w:sz w:val="22"/>
          <w:szCs w:val="22"/>
        </w:rPr>
        <w:drawing>
          <wp:inline distT="0" distB="0" distL="0" distR="0" wp14:anchorId="73EC321E" wp14:editId="474BA761">
            <wp:extent cx="5378824" cy="735368"/>
            <wp:effectExtent l="0" t="0" r="6350" b="127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rotWithShape="1">
                    <a:blip r:embed="rId9" cstate="print">
                      <a:extLst>
                        <a:ext uri="{28A0092B-C50C-407E-A947-70E740481C1C}">
                          <a14:useLocalDpi xmlns:a14="http://schemas.microsoft.com/office/drawing/2010/main" val="0"/>
                        </a:ext>
                      </a:extLst>
                    </a:blip>
                    <a:srcRect t="43015" b="45139"/>
                    <a:stretch/>
                  </pic:blipFill>
                  <pic:spPr bwMode="auto">
                    <a:xfrm>
                      <a:off x="0" y="0"/>
                      <a:ext cx="5427580" cy="742034"/>
                    </a:xfrm>
                    <a:prstGeom prst="rect">
                      <a:avLst/>
                    </a:prstGeom>
                    <a:ln>
                      <a:noFill/>
                    </a:ln>
                    <a:extLst>
                      <a:ext uri="{53640926-AAD7-44D8-BBD7-CCE9431645EC}">
                        <a14:shadowObscured xmlns:a14="http://schemas.microsoft.com/office/drawing/2010/main"/>
                      </a:ext>
                    </a:extLst>
                  </pic:spPr>
                </pic:pic>
              </a:graphicData>
            </a:graphic>
          </wp:inline>
        </w:drawing>
      </w:r>
    </w:p>
    <w:p w14:paraId="40E73979" w14:textId="77777777" w:rsidR="00CC2E20" w:rsidRPr="000B6117" w:rsidRDefault="00CC2E20" w:rsidP="00CC2E20">
      <w:pPr>
        <w:jc w:val="center"/>
        <w:rPr>
          <w:rFonts w:ascii="Century Gothic" w:hAnsi="Century Gothic"/>
          <w:color w:val="7030A0"/>
          <w:sz w:val="22"/>
          <w:szCs w:val="22"/>
        </w:rPr>
      </w:pPr>
      <w:r w:rsidRPr="000B6117">
        <w:rPr>
          <w:rFonts w:ascii="Century Gothic" w:hAnsi="Century Gothic"/>
          <w:noProof/>
          <w:color w:val="7030A0"/>
          <w:sz w:val="22"/>
          <w:szCs w:val="22"/>
        </w:rPr>
        <w:drawing>
          <wp:inline distT="0" distB="0" distL="0" distR="0" wp14:anchorId="3C60FF18" wp14:editId="702700CD">
            <wp:extent cx="5341545" cy="1361067"/>
            <wp:effectExtent l="0" t="0" r="5715" b="0"/>
            <wp:docPr id="5" name="Picture 5"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imeline&#10;&#10;Description automatically generated"/>
                    <pic:cNvPicPr/>
                  </pic:nvPicPr>
                  <pic:blipFill>
                    <a:blip r:embed="rId10"/>
                    <a:stretch>
                      <a:fillRect/>
                    </a:stretch>
                  </pic:blipFill>
                  <pic:spPr>
                    <a:xfrm>
                      <a:off x="0" y="0"/>
                      <a:ext cx="5361427" cy="1366133"/>
                    </a:xfrm>
                    <a:prstGeom prst="rect">
                      <a:avLst/>
                    </a:prstGeom>
                  </pic:spPr>
                </pic:pic>
              </a:graphicData>
            </a:graphic>
          </wp:inline>
        </w:drawing>
      </w:r>
    </w:p>
    <w:p w14:paraId="0194A496" w14:textId="70941CB2" w:rsidR="00CC2E20" w:rsidRPr="000B6117" w:rsidRDefault="00CC2E20" w:rsidP="00CC2E20">
      <w:pPr>
        <w:pStyle w:val="Caption"/>
        <w:spacing w:after="120"/>
        <w:jc w:val="center"/>
        <w:rPr>
          <w:rFonts w:ascii="Century Gothic" w:hAnsi="Century Gothic"/>
          <w:color w:val="7030A0"/>
          <w:sz w:val="22"/>
          <w:szCs w:val="22"/>
        </w:rPr>
      </w:pPr>
      <w:bookmarkStart w:id="0" w:name="_Ref118385788"/>
      <w:r w:rsidRPr="000B6117">
        <w:rPr>
          <w:rFonts w:ascii="Century Gothic" w:hAnsi="Century Gothic"/>
          <w:sz w:val="22"/>
          <w:szCs w:val="22"/>
        </w:rPr>
        <w:t xml:space="preserve">Figure </w:t>
      </w:r>
      <w:r w:rsidRPr="000B6117">
        <w:rPr>
          <w:rFonts w:ascii="Century Gothic" w:hAnsi="Century Gothic"/>
          <w:sz w:val="22"/>
          <w:szCs w:val="22"/>
        </w:rPr>
        <w:fldChar w:fldCharType="begin"/>
      </w:r>
      <w:r w:rsidRPr="000B6117">
        <w:rPr>
          <w:rFonts w:ascii="Century Gothic" w:hAnsi="Century Gothic"/>
          <w:sz w:val="22"/>
          <w:szCs w:val="22"/>
        </w:rPr>
        <w:instrText xml:space="preserve"> SEQ Figure \* ARABIC </w:instrText>
      </w:r>
      <w:r w:rsidRPr="000B6117">
        <w:rPr>
          <w:rFonts w:ascii="Century Gothic" w:hAnsi="Century Gothic"/>
          <w:sz w:val="22"/>
          <w:szCs w:val="22"/>
        </w:rPr>
        <w:fldChar w:fldCharType="separate"/>
      </w:r>
      <w:r w:rsidRPr="000B6117">
        <w:rPr>
          <w:rFonts w:ascii="Century Gothic" w:hAnsi="Century Gothic"/>
          <w:sz w:val="22"/>
          <w:szCs w:val="22"/>
        </w:rPr>
        <w:t>2</w:t>
      </w:r>
      <w:r w:rsidRPr="000B6117">
        <w:rPr>
          <w:rFonts w:ascii="Century Gothic" w:hAnsi="Century Gothic"/>
          <w:sz w:val="22"/>
          <w:szCs w:val="22"/>
        </w:rPr>
        <w:fldChar w:fldCharType="end"/>
      </w:r>
      <w:bookmarkEnd w:id="0"/>
      <w:r w:rsidRPr="000B6117">
        <w:rPr>
          <w:rFonts w:ascii="Century Gothic" w:hAnsi="Century Gothic"/>
          <w:sz w:val="22"/>
          <w:szCs w:val="22"/>
        </w:rPr>
        <w:t>a</w:t>
      </w:r>
      <w:r>
        <w:rPr>
          <w:rFonts w:ascii="Century Gothic" w:hAnsi="Century Gothic"/>
          <w:sz w:val="22"/>
          <w:szCs w:val="22"/>
        </w:rPr>
        <w:t>:</w:t>
      </w:r>
      <w:r w:rsidRPr="000B6117">
        <w:rPr>
          <w:rFonts w:ascii="Century Gothic" w:hAnsi="Century Gothic"/>
          <w:sz w:val="22"/>
          <w:szCs w:val="22"/>
        </w:rPr>
        <w:t xml:space="preserve"> images of the reaction as it proceeds</w:t>
      </w:r>
      <w:r>
        <w:rPr>
          <w:rFonts w:ascii="Century Gothic" w:hAnsi="Century Gothic"/>
          <w:sz w:val="22"/>
          <w:szCs w:val="22"/>
        </w:rPr>
        <w:t>; b:</w:t>
      </w:r>
      <w:r w:rsidRPr="000B6117">
        <w:rPr>
          <w:rFonts w:ascii="Century Gothic" w:hAnsi="Century Gothic"/>
          <w:sz w:val="22"/>
          <w:szCs w:val="22"/>
        </w:rPr>
        <w:t xml:space="preserve"> species in solution, the colours and combinations of their colours</w:t>
      </w:r>
    </w:p>
    <w:p w14:paraId="07788CDF" w14:textId="39DE1A9B" w:rsidR="00CC2E20" w:rsidRPr="000B6117" w:rsidRDefault="00CC2E20" w:rsidP="00CC2E20">
      <w:pPr>
        <w:rPr>
          <w:rFonts w:ascii="Century Gothic" w:hAnsi="Century Gothic"/>
          <w:color w:val="7030A0"/>
          <w:sz w:val="22"/>
          <w:szCs w:val="22"/>
        </w:rPr>
      </w:pPr>
      <w:r w:rsidRPr="000B6117">
        <w:rPr>
          <w:rFonts w:ascii="Century Gothic" w:hAnsi="Century Gothic"/>
          <w:sz w:val="22"/>
          <w:szCs w:val="22"/>
        </w:rPr>
        <w:t>In the first step, the MnO</w:t>
      </w:r>
      <w:r w:rsidRPr="000B6117">
        <w:rPr>
          <w:rFonts w:ascii="Century Gothic" w:hAnsi="Century Gothic"/>
          <w:sz w:val="22"/>
          <w:szCs w:val="22"/>
          <w:vertAlign w:val="subscript"/>
        </w:rPr>
        <w:t>4</w:t>
      </w:r>
      <w:r w:rsidRPr="000B6117">
        <w:rPr>
          <w:rFonts w:ascii="Century Gothic" w:hAnsi="Century Gothic"/>
          <w:sz w:val="22"/>
          <w:szCs w:val="22"/>
          <w:vertAlign w:val="superscript"/>
        </w:rPr>
        <w:t>—</w:t>
      </w:r>
      <w:r w:rsidRPr="000B6117">
        <w:rPr>
          <w:rFonts w:ascii="Century Gothic" w:hAnsi="Century Gothic"/>
          <w:sz w:val="22"/>
          <w:szCs w:val="22"/>
        </w:rPr>
        <w:t xml:space="preserve"> ion (which is purple in solution) picks up an electron and is reduced to MnO</w:t>
      </w:r>
      <w:r w:rsidRPr="000B6117">
        <w:rPr>
          <w:rFonts w:ascii="Century Gothic" w:hAnsi="Century Gothic"/>
          <w:sz w:val="22"/>
          <w:szCs w:val="22"/>
          <w:vertAlign w:val="subscript"/>
        </w:rPr>
        <w:t>4</w:t>
      </w:r>
      <w:r w:rsidRPr="000B6117">
        <w:rPr>
          <w:rFonts w:ascii="Century Gothic" w:hAnsi="Century Gothic"/>
          <w:sz w:val="22"/>
          <w:szCs w:val="22"/>
          <w:vertAlign w:val="superscript"/>
        </w:rPr>
        <w:t>2—</w:t>
      </w:r>
      <w:r w:rsidRPr="000B6117">
        <w:rPr>
          <w:rFonts w:ascii="Century Gothic" w:hAnsi="Century Gothic"/>
          <w:sz w:val="22"/>
          <w:szCs w:val="22"/>
        </w:rPr>
        <w:t xml:space="preserve"> (which is green in solution).</w:t>
      </w:r>
    </w:p>
    <w:p w14:paraId="36C10A00" w14:textId="77777777" w:rsidR="00CC2E20" w:rsidRPr="000B6117" w:rsidRDefault="00CC2E20" w:rsidP="00CC2E20">
      <w:pPr>
        <w:jc w:val="center"/>
        <w:rPr>
          <w:rFonts w:ascii="Century Gothic" w:hAnsi="Century Gothic"/>
          <w:color w:val="009051"/>
          <w:sz w:val="22"/>
          <w:szCs w:val="22"/>
        </w:rPr>
      </w:pPr>
      <w:r w:rsidRPr="000B6117">
        <w:rPr>
          <w:rFonts w:ascii="Century Gothic" w:hAnsi="Century Gothic"/>
          <w:color w:val="7030A0"/>
          <w:sz w:val="22"/>
          <w:szCs w:val="22"/>
        </w:rPr>
        <w:t>MnO</w:t>
      </w:r>
      <w:r w:rsidRPr="000B6117">
        <w:rPr>
          <w:rFonts w:ascii="Century Gothic" w:hAnsi="Century Gothic"/>
          <w:color w:val="7030A0"/>
          <w:sz w:val="22"/>
          <w:szCs w:val="22"/>
          <w:vertAlign w:val="subscript"/>
        </w:rPr>
        <w:t>4</w:t>
      </w:r>
      <w:r w:rsidRPr="000B6117">
        <w:rPr>
          <w:rFonts w:ascii="Century Gothic" w:hAnsi="Century Gothic"/>
          <w:color w:val="7030A0"/>
          <w:sz w:val="22"/>
          <w:szCs w:val="22"/>
          <w:vertAlign w:val="superscript"/>
        </w:rPr>
        <w:t>—</w:t>
      </w:r>
      <w:r w:rsidRPr="000B6117">
        <w:rPr>
          <w:rFonts w:ascii="Century Gothic" w:hAnsi="Century Gothic"/>
          <w:sz w:val="22"/>
          <w:szCs w:val="22"/>
        </w:rPr>
        <w:t xml:space="preserve"> (aq.) + e</w:t>
      </w:r>
      <w:r w:rsidRPr="000B6117">
        <w:rPr>
          <w:rFonts w:ascii="Century Gothic" w:hAnsi="Century Gothic"/>
          <w:sz w:val="22"/>
          <w:szCs w:val="22"/>
          <w:vertAlign w:val="superscript"/>
        </w:rPr>
        <w:t>—</w:t>
      </w:r>
      <w:r w:rsidRPr="000B6117">
        <w:rPr>
          <w:rFonts w:ascii="Century Gothic" w:hAnsi="Century Gothic"/>
          <w:sz w:val="22"/>
          <w:szCs w:val="22"/>
        </w:rPr>
        <w:t xml:space="preserve"> </w:t>
      </w:r>
      <w:r w:rsidRPr="000B6117">
        <w:rPr>
          <w:rFonts w:ascii="Century Gothic" w:hAnsi="Century Gothic"/>
          <w:sz w:val="22"/>
          <w:szCs w:val="22"/>
        </w:rPr>
        <w:sym w:font="Wingdings" w:char="F0E0"/>
      </w:r>
      <w:r w:rsidRPr="000B6117">
        <w:rPr>
          <w:rFonts w:ascii="Century Gothic" w:hAnsi="Century Gothic"/>
          <w:sz w:val="22"/>
          <w:szCs w:val="22"/>
        </w:rPr>
        <w:t xml:space="preserve"> </w:t>
      </w:r>
      <w:r w:rsidRPr="000B6117">
        <w:rPr>
          <w:rFonts w:ascii="Century Gothic" w:hAnsi="Century Gothic"/>
          <w:color w:val="009051"/>
          <w:sz w:val="22"/>
          <w:szCs w:val="22"/>
        </w:rPr>
        <w:t>MnO</w:t>
      </w:r>
      <w:r w:rsidRPr="000B6117">
        <w:rPr>
          <w:rFonts w:ascii="Century Gothic" w:hAnsi="Century Gothic"/>
          <w:color w:val="009051"/>
          <w:sz w:val="22"/>
          <w:szCs w:val="22"/>
          <w:vertAlign w:val="subscript"/>
        </w:rPr>
        <w:t>4</w:t>
      </w:r>
      <w:r w:rsidRPr="000B6117">
        <w:rPr>
          <w:rFonts w:ascii="Century Gothic" w:hAnsi="Century Gothic"/>
          <w:color w:val="009051"/>
          <w:sz w:val="22"/>
          <w:szCs w:val="22"/>
          <w:vertAlign w:val="superscript"/>
        </w:rPr>
        <w:t>2—</w:t>
      </w:r>
      <w:r w:rsidRPr="000B6117">
        <w:rPr>
          <w:rFonts w:ascii="Century Gothic" w:hAnsi="Century Gothic"/>
          <w:color w:val="009051"/>
          <w:sz w:val="22"/>
          <w:szCs w:val="22"/>
        </w:rPr>
        <w:t xml:space="preserve"> </w:t>
      </w:r>
      <w:r w:rsidRPr="000B6117">
        <w:rPr>
          <w:rFonts w:ascii="Century Gothic" w:hAnsi="Century Gothic"/>
          <w:sz w:val="22"/>
          <w:szCs w:val="22"/>
        </w:rPr>
        <w:t>(aq.)</w:t>
      </w:r>
    </w:p>
    <w:p w14:paraId="26A96450" w14:textId="77777777" w:rsidR="00CC2E20" w:rsidRPr="000B6117" w:rsidRDefault="00CC2E20" w:rsidP="00CC2E20">
      <w:pPr>
        <w:pStyle w:val="Caption"/>
        <w:spacing w:after="120"/>
        <w:jc w:val="center"/>
        <w:rPr>
          <w:rFonts w:ascii="Century Gothic" w:hAnsi="Century Gothic"/>
          <w:color w:val="009051"/>
          <w:sz w:val="22"/>
          <w:szCs w:val="22"/>
        </w:rPr>
      </w:pPr>
      <w:r w:rsidRPr="000B6117">
        <w:rPr>
          <w:rFonts w:ascii="Century Gothic" w:hAnsi="Century Gothic"/>
          <w:sz w:val="22"/>
          <w:szCs w:val="22"/>
        </w:rPr>
        <w:t xml:space="preserve">Equation </w:t>
      </w:r>
      <w:r w:rsidRPr="000B6117">
        <w:rPr>
          <w:rFonts w:ascii="Century Gothic" w:hAnsi="Century Gothic"/>
          <w:sz w:val="22"/>
          <w:szCs w:val="22"/>
        </w:rPr>
        <w:fldChar w:fldCharType="begin"/>
      </w:r>
      <w:r w:rsidRPr="000B6117">
        <w:rPr>
          <w:rFonts w:ascii="Century Gothic" w:hAnsi="Century Gothic"/>
          <w:sz w:val="22"/>
          <w:szCs w:val="22"/>
        </w:rPr>
        <w:instrText xml:space="preserve"> SEQ Equation \* ARABIC </w:instrText>
      </w:r>
      <w:r w:rsidRPr="000B6117">
        <w:rPr>
          <w:rFonts w:ascii="Century Gothic" w:hAnsi="Century Gothic"/>
          <w:sz w:val="22"/>
          <w:szCs w:val="22"/>
        </w:rPr>
        <w:fldChar w:fldCharType="separate"/>
      </w:r>
      <w:r w:rsidRPr="000B6117">
        <w:rPr>
          <w:rFonts w:ascii="Century Gothic" w:hAnsi="Century Gothic"/>
          <w:sz w:val="22"/>
          <w:szCs w:val="22"/>
        </w:rPr>
        <w:t>1</w:t>
      </w:r>
      <w:r w:rsidRPr="000B6117">
        <w:rPr>
          <w:rFonts w:ascii="Century Gothic" w:hAnsi="Century Gothic"/>
          <w:sz w:val="22"/>
          <w:szCs w:val="22"/>
        </w:rPr>
        <w:fldChar w:fldCharType="end"/>
      </w:r>
    </w:p>
    <w:p w14:paraId="4B7A2163" w14:textId="1D0FEDE1" w:rsidR="00CC2E20" w:rsidRPr="000B6117" w:rsidRDefault="00CC2E20" w:rsidP="00CC2E20">
      <w:pPr>
        <w:rPr>
          <w:rFonts w:ascii="Century Gothic" w:hAnsi="Century Gothic"/>
          <w:sz w:val="22"/>
          <w:szCs w:val="22"/>
        </w:rPr>
      </w:pPr>
      <w:r w:rsidRPr="000B6117">
        <w:rPr>
          <w:rFonts w:ascii="Century Gothic" w:hAnsi="Century Gothic"/>
          <w:sz w:val="22"/>
          <w:szCs w:val="22"/>
        </w:rPr>
        <w:t>Although</w:t>
      </w:r>
      <w:r w:rsidR="00FF5018">
        <w:rPr>
          <w:rFonts w:ascii="Century Gothic" w:hAnsi="Century Gothic"/>
          <w:sz w:val="22"/>
          <w:szCs w:val="22"/>
        </w:rPr>
        <w:t xml:space="preserve"> </w:t>
      </w:r>
      <w:proofErr w:type="spellStart"/>
      <w:r w:rsidRPr="000B6117">
        <w:rPr>
          <w:rFonts w:ascii="Century Gothic" w:hAnsi="Century Gothic"/>
          <w:sz w:val="22"/>
          <w:szCs w:val="22"/>
        </w:rPr>
        <w:t>Prolongo</w:t>
      </w:r>
      <w:proofErr w:type="spellEnd"/>
      <w:r w:rsidRPr="000B6117">
        <w:rPr>
          <w:rFonts w:ascii="Century Gothic" w:hAnsi="Century Gothic"/>
          <w:sz w:val="22"/>
          <w:szCs w:val="22"/>
        </w:rPr>
        <w:t xml:space="preserve"> and Pinto suspected the presence of the blue MnO</w:t>
      </w:r>
      <w:r w:rsidRPr="000B6117">
        <w:rPr>
          <w:rFonts w:ascii="Century Gothic" w:hAnsi="Century Gothic"/>
          <w:sz w:val="22"/>
          <w:szCs w:val="22"/>
          <w:vertAlign w:val="subscript"/>
        </w:rPr>
        <w:t>4</w:t>
      </w:r>
      <w:r w:rsidRPr="000B6117">
        <w:rPr>
          <w:rFonts w:ascii="Century Gothic" w:hAnsi="Century Gothic"/>
          <w:sz w:val="22"/>
          <w:szCs w:val="22"/>
          <w:vertAlign w:val="superscript"/>
        </w:rPr>
        <w:t>3—</w:t>
      </w:r>
      <w:r w:rsidRPr="000B6117">
        <w:rPr>
          <w:rFonts w:ascii="Century Gothic" w:hAnsi="Century Gothic"/>
          <w:sz w:val="22"/>
          <w:szCs w:val="22"/>
        </w:rPr>
        <w:t xml:space="preserve"> ion, subsequent spectrochemical studies have </w:t>
      </w:r>
      <w:r w:rsidRPr="00634A37">
        <w:rPr>
          <w:rFonts w:ascii="Century Gothic" w:hAnsi="Century Gothic"/>
          <w:sz w:val="22"/>
          <w:szCs w:val="22"/>
        </w:rPr>
        <w:t>ruled out the possibility that it’s present in any meaningful concentration</w:t>
      </w:r>
      <w:r w:rsidRPr="000B6117">
        <w:rPr>
          <w:rFonts w:ascii="Century Gothic" w:hAnsi="Century Gothic"/>
          <w:sz w:val="22"/>
          <w:szCs w:val="22"/>
        </w:rPr>
        <w:t>. Rather, the blue intermediate step is the result of a mixture of the purple MnO</w:t>
      </w:r>
      <w:r w:rsidRPr="000B6117">
        <w:rPr>
          <w:rFonts w:ascii="Century Gothic" w:hAnsi="Century Gothic"/>
          <w:sz w:val="22"/>
          <w:szCs w:val="22"/>
          <w:vertAlign w:val="subscript"/>
        </w:rPr>
        <w:t>4</w:t>
      </w:r>
      <w:r w:rsidRPr="000B6117">
        <w:rPr>
          <w:rFonts w:ascii="Century Gothic" w:hAnsi="Century Gothic"/>
          <w:sz w:val="22"/>
          <w:szCs w:val="22"/>
          <w:vertAlign w:val="superscript"/>
        </w:rPr>
        <w:t>—</w:t>
      </w:r>
      <w:r w:rsidRPr="000B6117">
        <w:rPr>
          <w:rFonts w:ascii="Century Gothic" w:hAnsi="Century Gothic"/>
          <w:sz w:val="22"/>
          <w:szCs w:val="22"/>
        </w:rPr>
        <w:t xml:space="preserve"> and green MnO</w:t>
      </w:r>
      <w:r w:rsidRPr="000B6117">
        <w:rPr>
          <w:rFonts w:ascii="Century Gothic" w:hAnsi="Century Gothic"/>
          <w:sz w:val="22"/>
          <w:szCs w:val="22"/>
          <w:vertAlign w:val="subscript"/>
        </w:rPr>
        <w:t>4</w:t>
      </w:r>
      <w:r w:rsidRPr="000B6117">
        <w:rPr>
          <w:rFonts w:ascii="Century Gothic" w:hAnsi="Century Gothic"/>
          <w:sz w:val="22"/>
          <w:szCs w:val="22"/>
          <w:vertAlign w:val="superscript"/>
        </w:rPr>
        <w:t>2—</w:t>
      </w:r>
      <w:r w:rsidRPr="000B6117">
        <w:rPr>
          <w:rFonts w:ascii="Century Gothic" w:hAnsi="Century Gothic"/>
          <w:sz w:val="22"/>
          <w:szCs w:val="22"/>
        </w:rPr>
        <w:t xml:space="preserve"> ions in the solution (</w:t>
      </w:r>
      <w:r w:rsidRPr="000B6117">
        <w:rPr>
          <w:rFonts w:ascii="Century Gothic" w:hAnsi="Century Gothic"/>
          <w:sz w:val="22"/>
          <w:szCs w:val="22"/>
        </w:rPr>
        <w:fldChar w:fldCharType="begin"/>
      </w:r>
      <w:r w:rsidRPr="000B6117">
        <w:rPr>
          <w:rFonts w:ascii="Century Gothic" w:hAnsi="Century Gothic"/>
          <w:sz w:val="22"/>
          <w:szCs w:val="22"/>
        </w:rPr>
        <w:instrText xml:space="preserve"> REF _Ref118385788 \h </w:instrText>
      </w:r>
      <w:r w:rsidRPr="000B6117">
        <w:rPr>
          <w:rFonts w:ascii="Century Gothic" w:hAnsi="Century Gothic"/>
          <w:sz w:val="22"/>
          <w:szCs w:val="22"/>
        </w:rPr>
      </w:r>
      <w:r w:rsidRPr="000B6117">
        <w:rPr>
          <w:rFonts w:ascii="Century Gothic" w:hAnsi="Century Gothic"/>
          <w:sz w:val="22"/>
          <w:szCs w:val="22"/>
        </w:rPr>
        <w:instrText xml:space="preserve"> \* MERGEFORMAT </w:instrText>
      </w:r>
      <w:r w:rsidRPr="000B6117">
        <w:rPr>
          <w:rFonts w:ascii="Century Gothic" w:hAnsi="Century Gothic"/>
          <w:sz w:val="22"/>
          <w:szCs w:val="22"/>
        </w:rPr>
        <w:fldChar w:fldCharType="separate"/>
      </w:r>
      <w:r w:rsidRPr="000B6117">
        <w:rPr>
          <w:rFonts w:ascii="Century Gothic" w:hAnsi="Century Gothic"/>
          <w:sz w:val="22"/>
          <w:szCs w:val="22"/>
        </w:rPr>
        <w:t>Figure 2</w:t>
      </w:r>
      <w:r w:rsidRPr="000B6117">
        <w:rPr>
          <w:rFonts w:ascii="Century Gothic" w:hAnsi="Century Gothic"/>
          <w:sz w:val="22"/>
          <w:szCs w:val="22"/>
        </w:rPr>
        <w:fldChar w:fldCharType="end"/>
      </w:r>
      <w:r w:rsidRPr="000B6117">
        <w:rPr>
          <w:rFonts w:ascii="Century Gothic" w:hAnsi="Century Gothic"/>
          <w:sz w:val="22"/>
          <w:szCs w:val="22"/>
        </w:rPr>
        <w:t>b).</w:t>
      </w:r>
    </w:p>
    <w:p w14:paraId="1AD73F22" w14:textId="18AF6D59" w:rsidR="00CC2E20" w:rsidRPr="00634A37" w:rsidRDefault="00CC2E20" w:rsidP="00CC2E20">
      <w:pPr>
        <w:rPr>
          <w:rFonts w:ascii="Century Gothic" w:hAnsi="Century Gothic"/>
          <w:sz w:val="22"/>
          <w:szCs w:val="22"/>
        </w:rPr>
      </w:pPr>
      <w:r w:rsidRPr="000B6117">
        <w:rPr>
          <w:rFonts w:ascii="Century Gothic" w:hAnsi="Century Gothic"/>
          <w:sz w:val="22"/>
          <w:szCs w:val="22"/>
        </w:rPr>
        <w:t>The MnO</w:t>
      </w:r>
      <w:r w:rsidRPr="000B6117">
        <w:rPr>
          <w:rFonts w:ascii="Century Gothic" w:hAnsi="Century Gothic"/>
          <w:sz w:val="22"/>
          <w:szCs w:val="22"/>
          <w:vertAlign w:val="subscript"/>
        </w:rPr>
        <w:t>4</w:t>
      </w:r>
      <w:r w:rsidRPr="000B6117">
        <w:rPr>
          <w:rFonts w:ascii="Century Gothic" w:hAnsi="Century Gothic"/>
          <w:sz w:val="22"/>
          <w:szCs w:val="22"/>
          <w:vertAlign w:val="superscript"/>
        </w:rPr>
        <w:t>2—</w:t>
      </w:r>
      <w:r w:rsidRPr="000B6117">
        <w:rPr>
          <w:rFonts w:ascii="Century Gothic" w:hAnsi="Century Gothic"/>
          <w:sz w:val="22"/>
          <w:szCs w:val="22"/>
        </w:rPr>
        <w:t xml:space="preserve"> ion is further reduced to a solution of Mn(IV) (aq.), and then MnO</w:t>
      </w:r>
      <w:r w:rsidRPr="000B6117">
        <w:rPr>
          <w:rFonts w:ascii="Century Gothic" w:hAnsi="Century Gothic"/>
          <w:sz w:val="22"/>
          <w:szCs w:val="22"/>
          <w:vertAlign w:val="subscript"/>
        </w:rPr>
        <w:t>2</w:t>
      </w:r>
      <w:r w:rsidRPr="000B6117">
        <w:rPr>
          <w:rFonts w:ascii="Century Gothic" w:hAnsi="Century Gothic"/>
          <w:sz w:val="22"/>
          <w:szCs w:val="22"/>
        </w:rPr>
        <w:t xml:space="preserve"> precipitates out as a colloidal suspension (</w:t>
      </w:r>
      <w:r w:rsidRPr="000B6117">
        <w:rPr>
          <w:rFonts w:ascii="Century Gothic" w:hAnsi="Century Gothic"/>
          <w:sz w:val="22"/>
          <w:szCs w:val="22"/>
        </w:rPr>
        <w:fldChar w:fldCharType="begin"/>
      </w:r>
      <w:r w:rsidRPr="000B6117">
        <w:rPr>
          <w:rFonts w:ascii="Century Gothic" w:hAnsi="Century Gothic"/>
          <w:sz w:val="22"/>
          <w:szCs w:val="22"/>
        </w:rPr>
        <w:instrText xml:space="preserve"> REF _Ref118386218 \h </w:instrText>
      </w:r>
      <w:r w:rsidRPr="000B6117">
        <w:rPr>
          <w:rFonts w:ascii="Century Gothic" w:hAnsi="Century Gothic"/>
          <w:sz w:val="22"/>
          <w:szCs w:val="22"/>
        </w:rPr>
      </w:r>
      <w:r w:rsidRPr="000B6117">
        <w:rPr>
          <w:rFonts w:ascii="Century Gothic" w:hAnsi="Century Gothic"/>
          <w:sz w:val="22"/>
          <w:szCs w:val="22"/>
        </w:rPr>
        <w:instrText xml:space="preserve"> \* MERGEFORMAT </w:instrText>
      </w:r>
      <w:r w:rsidRPr="000B6117">
        <w:rPr>
          <w:rFonts w:ascii="Century Gothic" w:hAnsi="Century Gothic"/>
          <w:sz w:val="22"/>
          <w:szCs w:val="22"/>
        </w:rPr>
        <w:fldChar w:fldCharType="separate"/>
      </w:r>
      <w:r w:rsidRPr="000B6117">
        <w:rPr>
          <w:rFonts w:ascii="Century Gothic" w:hAnsi="Century Gothic"/>
          <w:sz w:val="22"/>
          <w:szCs w:val="22"/>
        </w:rPr>
        <w:t>Equation 2</w:t>
      </w:r>
      <w:r w:rsidRPr="000B6117">
        <w:rPr>
          <w:rFonts w:ascii="Century Gothic" w:hAnsi="Century Gothic"/>
          <w:sz w:val="22"/>
          <w:szCs w:val="22"/>
        </w:rPr>
        <w:fldChar w:fldCharType="end"/>
      </w:r>
      <w:r w:rsidRPr="000B6117">
        <w:rPr>
          <w:rFonts w:ascii="Century Gothic" w:hAnsi="Century Gothic"/>
          <w:sz w:val="22"/>
          <w:szCs w:val="22"/>
        </w:rPr>
        <w:t>). Students may be more familiar with the brown-black insoluble MnO</w:t>
      </w:r>
      <w:r w:rsidRPr="000B6117">
        <w:rPr>
          <w:rFonts w:ascii="Century Gothic" w:hAnsi="Century Gothic"/>
          <w:sz w:val="22"/>
          <w:szCs w:val="22"/>
          <w:vertAlign w:val="subscript"/>
        </w:rPr>
        <w:t>2</w:t>
      </w:r>
      <w:r w:rsidRPr="000B6117">
        <w:rPr>
          <w:rFonts w:ascii="Century Gothic" w:hAnsi="Century Gothic"/>
          <w:sz w:val="22"/>
          <w:szCs w:val="22"/>
        </w:rPr>
        <w:t xml:space="preserve"> powder used in catalysis experiments but, at these concentrations, the colloid appears orange.</w:t>
      </w:r>
    </w:p>
    <w:p w14:paraId="4E9DC05C" w14:textId="77777777" w:rsidR="00CC2E20" w:rsidRPr="000B6117" w:rsidRDefault="00CC2E20" w:rsidP="00CC2E20">
      <w:pPr>
        <w:jc w:val="center"/>
        <w:rPr>
          <w:rFonts w:ascii="Century Gothic" w:hAnsi="Century Gothic"/>
          <w:sz w:val="22"/>
          <w:szCs w:val="22"/>
        </w:rPr>
      </w:pPr>
      <w:r w:rsidRPr="000B6117">
        <w:rPr>
          <w:rFonts w:ascii="Century Gothic" w:hAnsi="Century Gothic"/>
          <w:color w:val="009051"/>
          <w:sz w:val="22"/>
          <w:szCs w:val="22"/>
        </w:rPr>
        <w:t>MnO</w:t>
      </w:r>
      <w:r w:rsidRPr="000B6117">
        <w:rPr>
          <w:rFonts w:ascii="Century Gothic" w:hAnsi="Century Gothic"/>
          <w:color w:val="009051"/>
          <w:sz w:val="22"/>
          <w:szCs w:val="22"/>
          <w:vertAlign w:val="subscript"/>
        </w:rPr>
        <w:t>4</w:t>
      </w:r>
      <w:r w:rsidRPr="000B6117">
        <w:rPr>
          <w:rFonts w:ascii="Century Gothic" w:hAnsi="Century Gothic"/>
          <w:color w:val="009051"/>
          <w:sz w:val="22"/>
          <w:szCs w:val="22"/>
          <w:vertAlign w:val="superscript"/>
        </w:rPr>
        <w:t>2—</w:t>
      </w:r>
      <w:r w:rsidRPr="000B6117">
        <w:rPr>
          <w:rFonts w:ascii="Century Gothic" w:hAnsi="Century Gothic"/>
          <w:sz w:val="22"/>
          <w:szCs w:val="22"/>
        </w:rPr>
        <w:t xml:space="preserve"> (aq.) + 2e</w:t>
      </w:r>
      <w:r w:rsidRPr="000B6117">
        <w:rPr>
          <w:rFonts w:ascii="Century Gothic" w:hAnsi="Century Gothic"/>
          <w:sz w:val="22"/>
          <w:szCs w:val="22"/>
          <w:vertAlign w:val="superscript"/>
        </w:rPr>
        <w:t>—</w:t>
      </w:r>
      <w:r w:rsidRPr="000B6117">
        <w:rPr>
          <w:rFonts w:ascii="Century Gothic" w:hAnsi="Century Gothic"/>
          <w:sz w:val="22"/>
          <w:szCs w:val="22"/>
        </w:rPr>
        <w:t xml:space="preserve"> + 2H</w:t>
      </w:r>
      <w:r w:rsidRPr="000B6117">
        <w:rPr>
          <w:rFonts w:ascii="Century Gothic" w:hAnsi="Century Gothic"/>
          <w:sz w:val="22"/>
          <w:szCs w:val="22"/>
          <w:vertAlign w:val="subscript"/>
        </w:rPr>
        <w:t>2</w:t>
      </w:r>
      <w:r w:rsidRPr="000B6117">
        <w:rPr>
          <w:rFonts w:ascii="Century Gothic" w:hAnsi="Century Gothic"/>
          <w:sz w:val="22"/>
          <w:szCs w:val="22"/>
        </w:rPr>
        <w:t xml:space="preserve">O (aq.) </w:t>
      </w:r>
      <w:r w:rsidRPr="000B6117">
        <w:rPr>
          <w:rFonts w:ascii="Century Gothic" w:hAnsi="Century Gothic"/>
          <w:color w:val="000000" w:themeColor="text1"/>
          <w:sz w:val="22"/>
          <w:szCs w:val="22"/>
        </w:rPr>
        <w:sym w:font="Wingdings" w:char="F0E0"/>
      </w:r>
      <w:r w:rsidRPr="000B6117">
        <w:rPr>
          <w:rFonts w:ascii="Century Gothic" w:hAnsi="Century Gothic"/>
          <w:color w:val="009051"/>
          <w:sz w:val="22"/>
          <w:szCs w:val="22"/>
        </w:rPr>
        <w:t xml:space="preserve"> </w:t>
      </w:r>
      <w:r w:rsidRPr="000B6117">
        <w:rPr>
          <w:rFonts w:ascii="Century Gothic" w:hAnsi="Century Gothic"/>
          <w:color w:val="C45911" w:themeColor="accent2" w:themeShade="BF"/>
          <w:sz w:val="22"/>
          <w:szCs w:val="22"/>
        </w:rPr>
        <w:t>MnO</w:t>
      </w:r>
      <w:r w:rsidRPr="000B6117">
        <w:rPr>
          <w:rFonts w:ascii="Century Gothic" w:hAnsi="Century Gothic"/>
          <w:color w:val="C45911" w:themeColor="accent2" w:themeShade="BF"/>
          <w:sz w:val="22"/>
          <w:szCs w:val="22"/>
          <w:vertAlign w:val="subscript"/>
        </w:rPr>
        <w:t>2</w:t>
      </w:r>
      <w:r w:rsidRPr="000B6117">
        <w:rPr>
          <w:rFonts w:ascii="Century Gothic" w:hAnsi="Century Gothic"/>
          <w:sz w:val="22"/>
          <w:szCs w:val="22"/>
        </w:rPr>
        <w:t xml:space="preserve"> (s) +</w:t>
      </w:r>
      <w:r w:rsidRPr="000B6117">
        <w:rPr>
          <w:rFonts w:ascii="Century Gothic" w:hAnsi="Century Gothic"/>
          <w:color w:val="C45911" w:themeColor="accent2" w:themeShade="BF"/>
          <w:sz w:val="22"/>
          <w:szCs w:val="22"/>
        </w:rPr>
        <w:t xml:space="preserve"> </w:t>
      </w:r>
      <w:r w:rsidRPr="000B6117">
        <w:rPr>
          <w:rFonts w:ascii="Century Gothic" w:hAnsi="Century Gothic"/>
          <w:sz w:val="22"/>
          <w:szCs w:val="22"/>
        </w:rPr>
        <w:t>4OH</w:t>
      </w:r>
      <w:r w:rsidRPr="000B6117">
        <w:rPr>
          <w:rFonts w:ascii="Century Gothic" w:hAnsi="Century Gothic"/>
          <w:sz w:val="22"/>
          <w:szCs w:val="22"/>
          <w:vertAlign w:val="superscript"/>
        </w:rPr>
        <w:t>—</w:t>
      </w:r>
      <w:r w:rsidRPr="000B6117">
        <w:rPr>
          <w:rFonts w:ascii="Century Gothic" w:hAnsi="Century Gothic"/>
          <w:sz w:val="22"/>
          <w:szCs w:val="22"/>
        </w:rPr>
        <w:t xml:space="preserve"> (aq.)</w:t>
      </w:r>
    </w:p>
    <w:p w14:paraId="14E96E6E" w14:textId="77777777" w:rsidR="00CC2E20" w:rsidRPr="000B6117" w:rsidRDefault="00CC2E20" w:rsidP="00CC2E20">
      <w:pPr>
        <w:pStyle w:val="Caption"/>
        <w:spacing w:after="120"/>
        <w:jc w:val="center"/>
        <w:rPr>
          <w:rFonts w:ascii="Century Gothic" w:hAnsi="Century Gothic"/>
          <w:sz w:val="22"/>
          <w:szCs w:val="22"/>
        </w:rPr>
      </w:pPr>
      <w:bookmarkStart w:id="1" w:name="_Ref118386218"/>
      <w:r w:rsidRPr="000B6117">
        <w:rPr>
          <w:rFonts w:ascii="Century Gothic" w:hAnsi="Century Gothic"/>
          <w:sz w:val="22"/>
          <w:szCs w:val="22"/>
        </w:rPr>
        <w:t xml:space="preserve">Equation </w:t>
      </w:r>
      <w:r w:rsidRPr="000B6117">
        <w:rPr>
          <w:rFonts w:ascii="Century Gothic" w:hAnsi="Century Gothic"/>
          <w:sz w:val="22"/>
          <w:szCs w:val="22"/>
        </w:rPr>
        <w:fldChar w:fldCharType="begin"/>
      </w:r>
      <w:r w:rsidRPr="000B6117">
        <w:rPr>
          <w:rFonts w:ascii="Century Gothic" w:hAnsi="Century Gothic"/>
          <w:sz w:val="22"/>
          <w:szCs w:val="22"/>
        </w:rPr>
        <w:instrText xml:space="preserve"> SEQ Equation \* ARABIC </w:instrText>
      </w:r>
      <w:r w:rsidRPr="000B6117">
        <w:rPr>
          <w:rFonts w:ascii="Century Gothic" w:hAnsi="Century Gothic"/>
          <w:sz w:val="22"/>
          <w:szCs w:val="22"/>
        </w:rPr>
        <w:fldChar w:fldCharType="separate"/>
      </w:r>
      <w:r w:rsidRPr="000B6117">
        <w:rPr>
          <w:rFonts w:ascii="Century Gothic" w:hAnsi="Century Gothic"/>
          <w:sz w:val="22"/>
          <w:szCs w:val="22"/>
        </w:rPr>
        <w:t>2</w:t>
      </w:r>
      <w:r w:rsidRPr="000B6117">
        <w:rPr>
          <w:rFonts w:ascii="Century Gothic" w:hAnsi="Century Gothic"/>
          <w:sz w:val="22"/>
          <w:szCs w:val="22"/>
        </w:rPr>
        <w:fldChar w:fldCharType="end"/>
      </w:r>
      <w:bookmarkEnd w:id="1"/>
    </w:p>
    <w:p w14:paraId="5A3E1FBE" w14:textId="036F6591" w:rsidR="00CC2E20" w:rsidRPr="00CC2E20" w:rsidRDefault="00CC2E20" w:rsidP="00CC2E20">
      <w:pPr>
        <w:pStyle w:val="RSCH2"/>
      </w:pPr>
      <w:r>
        <w:t>Alternative methods</w:t>
      </w:r>
    </w:p>
    <w:p w14:paraId="1C549531" w14:textId="77777777" w:rsidR="00CC2E20" w:rsidRPr="000B6117" w:rsidRDefault="00CC2E20" w:rsidP="00CC2E20">
      <w:pPr>
        <w:rPr>
          <w:rFonts w:ascii="Century Gothic" w:hAnsi="Century Gothic"/>
          <w:sz w:val="22"/>
          <w:szCs w:val="22"/>
        </w:rPr>
      </w:pPr>
      <w:r w:rsidRPr="000B6117">
        <w:rPr>
          <w:rFonts w:ascii="Century Gothic" w:hAnsi="Century Gothic"/>
          <w:sz w:val="22"/>
          <w:szCs w:val="22"/>
        </w:rPr>
        <w:t xml:space="preserve">You can alter this reaction to produce different effects. The reaction is (pseudo)-first order with respect to sugar and hydroxide ion, so it will tolerate a range of different concentrations. You could make up a variety of solutions with different sugars (sucrose, for example, reacts more slowly than glucose or fructose), or concentrations of one sugar set up next to each other with magnetitic stirrers so students can see the kinetic effects over time. You could also leave petri dishes out unstirred to let diffusion gradients produce a range of colours. And for some festive fun In December, you could consider trying a popular variation of this demonstration with a candy cane hooked over the side of a stirred beaker. </w:t>
      </w:r>
    </w:p>
    <w:p w14:paraId="7F3EC2A4" w14:textId="1994ACCE" w:rsidR="00D00AB5" w:rsidRPr="00B812B1" w:rsidRDefault="00D00AB5" w:rsidP="00CC2E20">
      <w:pPr>
        <w:pStyle w:val="RSCBulletedlist"/>
        <w:numPr>
          <w:ilvl w:val="0"/>
          <w:numId w:val="0"/>
        </w:numPr>
        <w:ind w:left="363" w:hanging="363"/>
      </w:pPr>
    </w:p>
    <w:sectPr w:rsidR="00D00AB5" w:rsidRPr="00B812B1" w:rsidSect="00231C1C">
      <w:headerReference w:type="default" r:id="rId11"/>
      <w:footerReference w:type="default" r:id="rId12"/>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276F0" w14:textId="77777777" w:rsidR="007A08F5" w:rsidRDefault="007A08F5" w:rsidP="008A1B0B">
      <w:pPr>
        <w:spacing w:after="0" w:line="240" w:lineRule="auto"/>
      </w:pPr>
      <w:r>
        <w:separator/>
      </w:r>
    </w:p>
  </w:endnote>
  <w:endnote w:type="continuationSeparator" w:id="0">
    <w:p w14:paraId="7981FF4B" w14:textId="77777777" w:rsidR="007A08F5" w:rsidRDefault="007A08F5"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48962BE2" w:rsidR="00231C1C" w:rsidRPr="00B226A7" w:rsidRDefault="00B226A7" w:rsidP="002F2A90">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CF775D">
      <w:rPr>
        <w:rFonts w:ascii="Century Gothic" w:hAnsi="Century Gothic"/>
        <w:sz w:val="16"/>
        <w:szCs w:val="16"/>
      </w:rPr>
      <w:t>2</w:t>
    </w:r>
    <w:r>
      <w:rPr>
        <w:rFonts w:ascii="Century Gothic" w:hAnsi="Century Gothic"/>
        <w:sz w:val="16"/>
        <w:szCs w:val="16"/>
      </w:rPr>
      <w:t xml:space="preserve"> </w:t>
    </w:r>
    <w:r w:rsidRPr="001C6249">
      <w:rPr>
        <w:rFonts w:ascii="Century Gothic" w:hAnsi="Century Gothic"/>
        <w:sz w:val="16"/>
        <w:szCs w:val="16"/>
      </w:rPr>
      <w:t>Royal Society of Chemistr</w:t>
    </w:r>
    <w:r w:rsidR="00362CD9">
      <w:rPr>
        <w:rFonts w:ascii="Century Gothic" w:hAnsi="Century Gothic"/>
        <w:sz w:val="16"/>
        <w:szCs w:val="16"/>
      </w:rPr>
      <w: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933B9" w14:textId="77777777" w:rsidR="007A08F5" w:rsidRDefault="007A08F5" w:rsidP="008A1B0B">
      <w:pPr>
        <w:spacing w:after="0" w:line="240" w:lineRule="auto"/>
      </w:pPr>
      <w:r>
        <w:separator/>
      </w:r>
    </w:p>
  </w:footnote>
  <w:footnote w:type="continuationSeparator" w:id="0">
    <w:p w14:paraId="2FCC546E" w14:textId="77777777" w:rsidR="007A08F5" w:rsidRDefault="007A08F5"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0CAA" w14:textId="5D79EE2C" w:rsidR="008A1B0B" w:rsidRDefault="00BF7CBA" w:rsidP="008D7A53">
    <w:pPr>
      <w:spacing w:after="60"/>
      <w:ind w:right="-850"/>
      <w:jc w:val="right"/>
      <w:rPr>
        <w:rFonts w:ascii="Century Gothic" w:hAnsi="Century Gothic"/>
        <w:b/>
        <w:bCs/>
        <w:color w:val="000000" w:themeColor="text1"/>
        <w:sz w:val="24"/>
        <w:szCs w:val="24"/>
      </w:rPr>
    </w:pPr>
    <w:r>
      <w:rPr>
        <w:rFonts w:ascii="Century Gothic" w:hAnsi="Century Gothic"/>
        <w:b/>
        <w:bCs/>
        <w:color w:val="004976"/>
        <w:sz w:val="30"/>
        <w:szCs w:val="30"/>
      </w:rPr>
      <w:t>Exhibition chemistry</w:t>
    </w:r>
    <w:r w:rsidR="00077CE2">
      <w:rPr>
        <w:rFonts w:ascii="Century Gothic" w:hAnsi="Century Gothic"/>
        <w:b/>
        <w:bCs/>
        <w:noProof/>
        <w:color w:val="004976"/>
        <w:sz w:val="30"/>
        <w:szCs w:val="30"/>
      </w:rPr>
      <w:drawing>
        <wp:anchor distT="0" distB="0" distL="114300" distR="114300" simplePos="0" relativeHeight="251658751" behindDoc="0" locked="0" layoutInCell="1" allowOverlap="1" wp14:anchorId="3B9B61EF" wp14:editId="20F1EF97">
          <wp:simplePos x="0" y="0"/>
          <wp:positionH relativeFrom="column">
            <wp:posOffset>-539750</wp:posOffset>
          </wp:positionH>
          <wp:positionV relativeFrom="paragraph">
            <wp:posOffset>31115</wp:posOffset>
          </wp:positionV>
          <wp:extent cx="2161036" cy="362713"/>
          <wp:effectExtent l="0" t="0" r="0" b="0"/>
          <wp:wrapNone/>
          <wp:docPr id="1" name="Picture 1" descr="A blue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ign with whit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61036" cy="362713"/>
                  </a:xfrm>
                  <a:prstGeom prst="rect">
                    <a:avLst/>
                  </a:prstGeom>
                </pic:spPr>
              </pic:pic>
            </a:graphicData>
          </a:graphic>
        </wp:anchor>
      </w:drawing>
    </w:r>
    <w:r w:rsidR="00FF76A3">
      <w:rPr>
        <w:rFonts w:ascii="Century Gothic" w:hAnsi="Century Gothic"/>
        <w:b/>
        <w:bCs/>
        <w:noProof/>
        <w:color w:val="004976"/>
        <w:sz w:val="30"/>
        <w:szCs w:val="30"/>
      </w:rPr>
      <w:drawing>
        <wp:anchor distT="0" distB="0" distL="114300" distR="114300" simplePos="0" relativeHeight="251658240" behindDoc="1" locked="0" layoutInCell="1" allowOverlap="1" wp14:anchorId="119FB73F" wp14:editId="04191F2C">
          <wp:simplePos x="0" y="0"/>
          <wp:positionH relativeFrom="column">
            <wp:posOffset>-927101</wp:posOffset>
          </wp:positionH>
          <wp:positionV relativeFrom="paragraph">
            <wp:posOffset>-267335</wp:posOffset>
          </wp:positionV>
          <wp:extent cx="7569919" cy="10712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flipH="1">
                    <a:off x="0" y="0"/>
                    <a:ext cx="7580222" cy="10727030"/>
                  </a:xfrm>
                  <a:prstGeom prst="rect">
                    <a:avLst/>
                  </a:prstGeom>
                </pic:spPr>
              </pic:pic>
            </a:graphicData>
          </a:graphic>
          <wp14:sizeRelH relativeFrom="page">
            <wp14:pctWidth>0</wp14:pctWidth>
          </wp14:sizeRelH>
          <wp14:sizeRelV relativeFrom="page">
            <wp14:pctHeight>0</wp14:pctHeight>
          </wp14:sizeRelV>
        </wp:anchor>
      </w:drawing>
    </w:r>
    <w:r w:rsidR="00557BF2">
      <w:rPr>
        <w:rFonts w:ascii="Century Gothic" w:hAnsi="Century Gothic"/>
        <w:b/>
        <w:bCs/>
        <w:color w:val="004976"/>
        <w:sz w:val="24"/>
        <w:szCs w:val="24"/>
      </w:rPr>
      <w:t xml:space="preserve"> </w:t>
    </w:r>
    <w:r w:rsidR="00B226A7">
      <w:rPr>
        <w:rFonts w:ascii="Century Gothic" w:hAnsi="Century Gothic"/>
        <w:b/>
        <w:bCs/>
        <w:color w:val="000000" w:themeColor="text1"/>
        <w:sz w:val="24"/>
        <w:szCs w:val="24"/>
      </w:rPr>
      <w:t>1</w:t>
    </w:r>
    <w:r w:rsidR="00146FCD">
      <w:rPr>
        <w:rFonts w:ascii="Century Gothic" w:hAnsi="Century Gothic"/>
        <w:b/>
        <w:bCs/>
        <w:color w:val="000000" w:themeColor="text1"/>
        <w:sz w:val="24"/>
        <w:szCs w:val="24"/>
      </w:rPr>
      <w:t>6</w:t>
    </w:r>
    <w:r w:rsidR="00B226A7">
      <w:rPr>
        <w:rFonts w:ascii="Century Gothic" w:hAnsi="Century Gothic"/>
        <w:b/>
        <w:bCs/>
        <w:color w:val="000000" w:themeColor="text1"/>
        <w:sz w:val="24"/>
        <w:szCs w:val="24"/>
      </w:rPr>
      <w:t>–1</w:t>
    </w:r>
    <w:r w:rsidR="00BA3729">
      <w:rPr>
        <w:rFonts w:ascii="Century Gothic" w:hAnsi="Century Gothic"/>
        <w:b/>
        <w:bCs/>
        <w:color w:val="000000" w:themeColor="text1"/>
        <w:sz w:val="24"/>
        <w:szCs w:val="24"/>
      </w:rPr>
      <w:t>8</w:t>
    </w:r>
    <w:r w:rsidR="00146FCD">
      <w:rPr>
        <w:rFonts w:ascii="Century Gothic" w:hAnsi="Century Gothic"/>
        <w:b/>
        <w:bCs/>
        <w:color w:val="000000" w:themeColor="text1"/>
        <w:sz w:val="24"/>
        <w:szCs w:val="24"/>
      </w:rPr>
      <w:t xml:space="preserve"> years</w:t>
    </w:r>
  </w:p>
  <w:p w14:paraId="014B122C" w14:textId="33B44F2D" w:rsidR="00557BF2" w:rsidRPr="00557BF2" w:rsidRDefault="00552B33" w:rsidP="00552B33">
    <w:pPr>
      <w:pStyle w:val="RSCURL"/>
      <w:jc w:val="right"/>
    </w:pPr>
    <w:r>
      <w:rPr>
        <w:color w:val="000000" w:themeColor="text1"/>
      </w:rPr>
      <w:t xml:space="preserve">Available </w:t>
    </w:r>
    <w:r w:rsidR="008B34F9">
      <w:rPr>
        <w:color w:val="000000" w:themeColor="text1"/>
      </w:rPr>
      <w:t>from</w:t>
    </w:r>
    <w:r w:rsidR="00557BF2" w:rsidRPr="00A56431">
      <w:rPr>
        <w:color w:val="000000" w:themeColor="text1"/>
      </w:rPr>
      <w:t xml:space="preserve"> </w:t>
    </w:r>
    <w:r w:rsidR="00BF7CBA" w:rsidRPr="00BF7CBA">
      <w:t>rsc.li/3XRLtbN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2F4"/>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71290E"/>
    <w:multiLevelType w:val="hybridMultilevel"/>
    <w:tmpl w:val="76B44E72"/>
    <w:lvl w:ilvl="0" w:tplc="8E40D1DC">
      <w:start w:val="1"/>
      <w:numFmt w:val="bullet"/>
      <w:pStyle w:val="RSCBulletedlist"/>
      <w:lvlText w:val=""/>
      <w:lvlJc w:val="left"/>
      <w:pPr>
        <w:ind w:left="363" w:hanging="363"/>
      </w:pPr>
      <w:rPr>
        <w:rFonts w:ascii="Symbol" w:hAnsi="Symbol" w:hint="default"/>
        <w:color w:val="00497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7A72"/>
    <w:multiLevelType w:val="hybridMultilevel"/>
    <w:tmpl w:val="01881FC8"/>
    <w:lvl w:ilvl="0" w:tplc="B6AC983E">
      <w:start w:val="1"/>
      <w:numFmt w:val="decimal"/>
      <w:pStyle w:val="RSCnumberedlist"/>
      <w:lvlText w:val="%1."/>
      <w:lvlJc w:val="left"/>
      <w:pPr>
        <w:ind w:left="360" w:hanging="360"/>
      </w:pPr>
      <w:rPr>
        <w:rFonts w:ascii="Century Gothic" w:hAnsi="Century Gothic" w:hint="default"/>
        <w:b/>
        <w:i w:val="0"/>
        <w:color w:val="00497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71E"/>
    <w:multiLevelType w:val="hybridMultilevel"/>
    <w:tmpl w:val="8EF02762"/>
    <w:lvl w:ilvl="0" w:tplc="BEE61F6A">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304F146F"/>
    <w:multiLevelType w:val="hybridMultilevel"/>
    <w:tmpl w:val="A628BB06"/>
    <w:lvl w:ilvl="0" w:tplc="FB94E9A2">
      <w:start w:val="1"/>
      <w:numFmt w:val="decimal"/>
      <w:pStyle w:val="RSCLearningobjectives"/>
      <w:lvlText w:val="%1"/>
      <w:lvlJc w:val="left"/>
      <w:pPr>
        <w:ind w:left="360" w:hanging="360"/>
      </w:pPr>
      <w:rPr>
        <w:rFonts w:hint="default"/>
        <w:b/>
        <w:i w:val="0"/>
        <w:color w:val="00497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CD2538"/>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6127D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10684F"/>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9060895">
    <w:abstractNumId w:val="17"/>
  </w:num>
  <w:num w:numId="2" w16cid:durableId="1196118066">
    <w:abstractNumId w:val="10"/>
  </w:num>
  <w:num w:numId="3" w16cid:durableId="1684013957">
    <w:abstractNumId w:val="5"/>
  </w:num>
  <w:num w:numId="4" w16cid:durableId="94137991">
    <w:abstractNumId w:val="8"/>
  </w:num>
  <w:num w:numId="5" w16cid:durableId="1272542815">
    <w:abstractNumId w:val="14"/>
  </w:num>
  <w:num w:numId="6" w16cid:durableId="1578638302">
    <w:abstractNumId w:val="16"/>
  </w:num>
  <w:num w:numId="7" w16cid:durableId="1878011126">
    <w:abstractNumId w:val="1"/>
  </w:num>
  <w:num w:numId="8" w16cid:durableId="1100568462">
    <w:abstractNumId w:val="4"/>
  </w:num>
  <w:num w:numId="9" w16cid:durableId="920867388">
    <w:abstractNumId w:val="3"/>
  </w:num>
  <w:num w:numId="10" w16cid:durableId="287249174">
    <w:abstractNumId w:val="2"/>
  </w:num>
  <w:num w:numId="11" w16cid:durableId="508838778">
    <w:abstractNumId w:val="11"/>
  </w:num>
  <w:num w:numId="12" w16cid:durableId="793208404">
    <w:abstractNumId w:val="2"/>
    <w:lvlOverride w:ilvl="0">
      <w:startOverride w:val="1"/>
    </w:lvlOverride>
  </w:num>
  <w:num w:numId="13" w16cid:durableId="388769935">
    <w:abstractNumId w:val="13"/>
  </w:num>
  <w:num w:numId="14" w16cid:durableId="1188257077">
    <w:abstractNumId w:val="12"/>
  </w:num>
  <w:num w:numId="15" w16cid:durableId="1530991476">
    <w:abstractNumId w:val="9"/>
  </w:num>
  <w:num w:numId="16" w16cid:durableId="1791362892">
    <w:abstractNumId w:val="0"/>
  </w:num>
  <w:num w:numId="17" w16cid:durableId="1278371683">
    <w:abstractNumId w:val="6"/>
  </w:num>
  <w:num w:numId="18" w16cid:durableId="529685319">
    <w:abstractNumId w:val="7"/>
  </w:num>
  <w:num w:numId="19" w16cid:durableId="1403873514">
    <w:abstractNumId w:val="3"/>
    <w:lvlOverride w:ilvl="0">
      <w:startOverride w:val="1"/>
    </w:lvlOverride>
  </w:num>
  <w:num w:numId="20" w16cid:durableId="10088253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46615"/>
    <w:rsid w:val="00077CE2"/>
    <w:rsid w:val="00087C7B"/>
    <w:rsid w:val="000B0210"/>
    <w:rsid w:val="000B0FE6"/>
    <w:rsid w:val="000E6E48"/>
    <w:rsid w:val="00146FCD"/>
    <w:rsid w:val="00147637"/>
    <w:rsid w:val="00180C62"/>
    <w:rsid w:val="002304A7"/>
    <w:rsid w:val="00231C1C"/>
    <w:rsid w:val="002549BE"/>
    <w:rsid w:val="002C2223"/>
    <w:rsid w:val="002D34BA"/>
    <w:rsid w:val="002E47CA"/>
    <w:rsid w:val="002F2A90"/>
    <w:rsid w:val="002F35A3"/>
    <w:rsid w:val="003059AB"/>
    <w:rsid w:val="00362CD9"/>
    <w:rsid w:val="003716B9"/>
    <w:rsid w:val="00383A44"/>
    <w:rsid w:val="003C643A"/>
    <w:rsid w:val="003D6657"/>
    <w:rsid w:val="0044650F"/>
    <w:rsid w:val="0046389A"/>
    <w:rsid w:val="00466630"/>
    <w:rsid w:val="00485CEA"/>
    <w:rsid w:val="00512B6D"/>
    <w:rsid w:val="00516F80"/>
    <w:rsid w:val="0052289F"/>
    <w:rsid w:val="00552B33"/>
    <w:rsid w:val="00557BF2"/>
    <w:rsid w:val="005B4AFE"/>
    <w:rsid w:val="005F286E"/>
    <w:rsid w:val="00634A37"/>
    <w:rsid w:val="006820BE"/>
    <w:rsid w:val="006D790E"/>
    <w:rsid w:val="006E13FB"/>
    <w:rsid w:val="007042E5"/>
    <w:rsid w:val="00747FE6"/>
    <w:rsid w:val="007A08F5"/>
    <w:rsid w:val="00835B9C"/>
    <w:rsid w:val="0089187A"/>
    <w:rsid w:val="00893F3D"/>
    <w:rsid w:val="008A1B0B"/>
    <w:rsid w:val="008B34F9"/>
    <w:rsid w:val="008D7A53"/>
    <w:rsid w:val="009272D0"/>
    <w:rsid w:val="009F5A9D"/>
    <w:rsid w:val="00A13442"/>
    <w:rsid w:val="00A5348B"/>
    <w:rsid w:val="00A571EB"/>
    <w:rsid w:val="00A5740C"/>
    <w:rsid w:val="00A725C3"/>
    <w:rsid w:val="00B226A7"/>
    <w:rsid w:val="00B30A6E"/>
    <w:rsid w:val="00B67A03"/>
    <w:rsid w:val="00B71E66"/>
    <w:rsid w:val="00B812B1"/>
    <w:rsid w:val="00BA3729"/>
    <w:rsid w:val="00BF7CBA"/>
    <w:rsid w:val="00C1703F"/>
    <w:rsid w:val="00C43346"/>
    <w:rsid w:val="00CC2E20"/>
    <w:rsid w:val="00CD3159"/>
    <w:rsid w:val="00CD5E3C"/>
    <w:rsid w:val="00CF6E3E"/>
    <w:rsid w:val="00CF775D"/>
    <w:rsid w:val="00D00AB5"/>
    <w:rsid w:val="00D17CC0"/>
    <w:rsid w:val="00D45D99"/>
    <w:rsid w:val="00D60D30"/>
    <w:rsid w:val="00DD432E"/>
    <w:rsid w:val="00EC7EFF"/>
    <w:rsid w:val="00F80ECB"/>
    <w:rsid w:val="00FC3B24"/>
    <w:rsid w:val="00FF5018"/>
    <w:rsid w:val="00FF7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B30A6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0B0210"/>
    <w:pPr>
      <w:tabs>
        <w:tab w:val="left" w:pos="8505"/>
      </w:tabs>
      <w:spacing w:after="240" w:line="259" w:lineRule="auto"/>
      <w:jc w:val="left"/>
    </w:pPr>
    <w:rPr>
      <w:rFonts w:ascii="Century Gothic" w:hAnsi="Century Gothic"/>
      <w:b/>
      <w:bCs/>
      <w:color w:val="004976"/>
      <w:sz w:val="36"/>
      <w:szCs w:val="36"/>
    </w:rPr>
  </w:style>
  <w:style w:type="paragraph" w:customStyle="1" w:styleId="RSCH2">
    <w:name w:val="RSC H2"/>
    <w:basedOn w:val="Normal"/>
    <w:qFormat/>
    <w:rsid w:val="00B30A6E"/>
    <w:pPr>
      <w:tabs>
        <w:tab w:val="left" w:pos="426"/>
      </w:tabs>
      <w:spacing w:before="500" w:after="160" w:line="259" w:lineRule="auto"/>
      <w:jc w:val="left"/>
    </w:pPr>
    <w:rPr>
      <w:rFonts w:ascii="Century Gothic" w:hAnsi="Century Gothic"/>
      <w:b/>
      <w:bCs/>
      <w:color w:val="004976"/>
      <w:sz w:val="28"/>
      <w:szCs w:val="22"/>
    </w:rPr>
  </w:style>
  <w:style w:type="paragraph" w:customStyle="1" w:styleId="RSCH3">
    <w:name w:val="RSC H3"/>
    <w:basedOn w:val="RSCBasictext"/>
    <w:qFormat/>
    <w:rsid w:val="00B30A6E"/>
    <w:pPr>
      <w:spacing w:before="300"/>
    </w:pPr>
    <w:rPr>
      <w:b/>
      <w:bCs/>
      <w:color w:val="004976"/>
    </w:rPr>
  </w:style>
  <w:style w:type="paragraph" w:customStyle="1" w:styleId="RSCLearningobjectives">
    <w:name w:val="RSC Learning objectives"/>
    <w:basedOn w:val="Normal"/>
    <w:qFormat/>
    <w:rsid w:val="00B812B1"/>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A13442"/>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B30A6E"/>
    <w:pPr>
      <w:tabs>
        <w:tab w:val="left" w:pos="8789"/>
      </w:tabs>
      <w:spacing w:after="240" w:line="259" w:lineRule="auto"/>
      <w:jc w:val="right"/>
    </w:pPr>
    <w:rPr>
      <w:rFonts w:ascii="Century Gothic" w:hAnsi="Century Gothic"/>
      <w:b/>
      <w:color w:val="004976"/>
      <w:sz w:val="18"/>
      <w:szCs w:val="22"/>
    </w:rPr>
  </w:style>
  <w:style w:type="paragraph" w:customStyle="1" w:styleId="RSCnumberedlist">
    <w:name w:val="RSC numbered list"/>
    <w:basedOn w:val="Normal"/>
    <w:qFormat/>
    <w:rsid w:val="00B30A6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numbering" w:customStyle="1" w:styleId="CurrentList4">
    <w:name w:val="Current List4"/>
    <w:uiPriority w:val="99"/>
    <w:rsid w:val="00B30A6E"/>
    <w:pPr>
      <w:numPr>
        <w:numId w:val="16"/>
      </w:numPr>
    </w:pPr>
  </w:style>
  <w:style w:type="numbering" w:customStyle="1" w:styleId="CurrentList5">
    <w:name w:val="Current List5"/>
    <w:uiPriority w:val="99"/>
    <w:rsid w:val="00B30A6E"/>
    <w:pPr>
      <w:numPr>
        <w:numId w:val="17"/>
      </w:numPr>
    </w:pPr>
  </w:style>
  <w:style w:type="numbering" w:customStyle="1" w:styleId="CurrentList6">
    <w:name w:val="Current List6"/>
    <w:uiPriority w:val="99"/>
    <w:rsid w:val="00B30A6E"/>
    <w:pPr>
      <w:numPr>
        <w:numId w:val="18"/>
      </w:numPr>
    </w:pPr>
  </w:style>
  <w:style w:type="paragraph" w:customStyle="1" w:styleId="URL">
    <w:name w:val="URL"/>
    <w:basedOn w:val="RSCH3"/>
    <w:qFormat/>
    <w:rsid w:val="005F286E"/>
    <w:pPr>
      <w:spacing w:before="0" w:after="504"/>
    </w:pPr>
  </w:style>
  <w:style w:type="paragraph" w:customStyle="1" w:styleId="RSCURL">
    <w:name w:val="RSC URL"/>
    <w:basedOn w:val="Normal"/>
    <w:qFormat/>
    <w:rsid w:val="002549BE"/>
    <w:pPr>
      <w:spacing w:after="86"/>
      <w:ind w:right="-850"/>
      <w:jc w:val="left"/>
    </w:pPr>
    <w:rPr>
      <w:rFonts w:ascii="Century Gothic" w:hAnsi="Century Gothic"/>
      <w:b/>
      <w:bCs/>
      <w:color w:val="004976"/>
      <w:sz w:val="18"/>
      <w:szCs w:val="18"/>
    </w:rPr>
  </w:style>
  <w:style w:type="paragraph" w:customStyle="1" w:styleId="RSCH4">
    <w:name w:val="RSC H4"/>
    <w:basedOn w:val="RSCH2"/>
    <w:qFormat/>
    <w:rsid w:val="00FC3B24"/>
    <w:pPr>
      <w:spacing w:before="302" w:after="115"/>
    </w:pPr>
    <w:rPr>
      <w:b w:val="0"/>
      <w:bCs w:val="0"/>
      <w:i/>
      <w:iCs/>
      <w:sz w:val="20"/>
      <w:szCs w:val="20"/>
    </w:rPr>
  </w:style>
  <w:style w:type="paragraph" w:customStyle="1" w:styleId="RSCEQ">
    <w:name w:val="RSC EQ"/>
    <w:basedOn w:val="RSCBasictext"/>
    <w:qFormat/>
    <w:rsid w:val="00893F3D"/>
    <w:pPr>
      <w:jc w:val="center"/>
    </w:pPr>
  </w:style>
  <w:style w:type="table" w:styleId="TableGrid">
    <w:name w:val="Table Grid"/>
    <w:basedOn w:val="TableNormal"/>
    <w:uiPriority w:val="59"/>
    <w:rsid w:val="00D00AB5"/>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7">
    <w:name w:val="Current List7"/>
    <w:uiPriority w:val="99"/>
    <w:rsid w:val="00A13442"/>
    <w:pPr>
      <w:numPr>
        <w:numId w:val="20"/>
      </w:numPr>
    </w:pPr>
  </w:style>
  <w:style w:type="character" w:styleId="UnresolvedMention">
    <w:name w:val="Unresolved Mention"/>
    <w:basedOn w:val="DefaultParagraphFont"/>
    <w:uiPriority w:val="99"/>
    <w:semiHidden/>
    <w:unhideWhenUsed/>
    <w:rsid w:val="00B812B1"/>
    <w:rPr>
      <w:color w:val="605E5C"/>
      <w:shd w:val="clear" w:color="auto" w:fill="E1DFDD"/>
    </w:rPr>
  </w:style>
  <w:style w:type="paragraph" w:styleId="Caption">
    <w:name w:val="caption"/>
    <w:basedOn w:val="Normal"/>
    <w:next w:val="Normal"/>
    <w:uiPriority w:val="35"/>
    <w:unhideWhenUsed/>
    <w:qFormat/>
    <w:rsid w:val="00CC2E20"/>
    <w:pPr>
      <w:spacing w:after="200" w:line="240" w:lineRule="auto"/>
      <w:jc w:val="left"/>
      <w:outlineLvl w:val="9"/>
    </w:pPr>
    <w:rPr>
      <w:rFonts w:ascii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sc.li/3XRLtb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4060</TotalTime>
  <Pages>3</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Royal Society Of Chemistry</Company>
  <LinksUpToDate>false</LinksUpToDate>
  <CharactersWithSpaces>4917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Royal Society Of Chemistry</dc:creator>
  <cp:keywords/>
  <dc:description/>
  <cp:lastModifiedBy>Deborah Van Wyk</cp:lastModifiedBy>
  <cp:revision>6</cp:revision>
  <dcterms:created xsi:type="dcterms:W3CDTF">2022-12-02T12:06:00Z</dcterms:created>
  <dcterms:modified xsi:type="dcterms:W3CDTF">2022-12-05T08:07:00Z</dcterms:modified>
  <cp:category/>
</cp:coreProperties>
</file>