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7BC44" w14:textId="270764A6" w:rsidR="00B812B1" w:rsidRPr="00B812B1" w:rsidRDefault="00212245" w:rsidP="00B812B1">
      <w:pPr>
        <w:pStyle w:val="RSCH1"/>
      </w:pPr>
      <w:r w:rsidRPr="00212245">
        <w:t>The vanadate reduction in the bag</w:t>
      </w:r>
    </w:p>
    <w:p w14:paraId="672E4F7F" w14:textId="18F531BB" w:rsidR="00B812B1" w:rsidRPr="00B812B1" w:rsidRDefault="00B812B1" w:rsidP="00B812B1">
      <w:pPr>
        <w:pStyle w:val="RSCBasictext"/>
      </w:pPr>
      <w:r w:rsidRPr="00B812B1">
        <w:t>This resource accompanies the article</w:t>
      </w:r>
      <w:r w:rsidRPr="00B812B1">
        <w:rPr>
          <w:b/>
          <w:bCs/>
        </w:rPr>
        <w:t xml:space="preserve"> </w:t>
      </w:r>
      <w:r w:rsidR="00212245" w:rsidRPr="00212245">
        <w:rPr>
          <w:b/>
          <w:bCs/>
        </w:rPr>
        <w:t>The vanadate reduction in the bag</w:t>
      </w:r>
      <w:r w:rsidR="00212245">
        <w:rPr>
          <w:b/>
          <w:bCs/>
        </w:rPr>
        <w:t xml:space="preserve"> </w:t>
      </w:r>
      <w:r w:rsidRPr="00B812B1">
        <w:t xml:space="preserve">in </w:t>
      </w:r>
      <w:r w:rsidRPr="00212245">
        <w:rPr>
          <w:i/>
          <w:iCs/>
        </w:rPr>
        <w:t>Education in Chemistry</w:t>
      </w:r>
      <w:r w:rsidRPr="00B812B1">
        <w:t xml:space="preserve"> which can be viewed at:</w:t>
      </w:r>
      <w:r w:rsidR="00B54656" w:rsidRPr="00B54656">
        <w:t xml:space="preserve"> </w:t>
      </w:r>
      <w:hyperlink r:id="rId8" w:history="1">
        <w:r w:rsidR="00B54656" w:rsidRPr="00683690">
          <w:rPr>
            <w:rStyle w:val="Hyperlink"/>
          </w:rPr>
          <w:t>https://rsc.li/3XN1YF5</w:t>
        </w:r>
      </w:hyperlink>
      <w:r w:rsidR="00B54656">
        <w:t xml:space="preserve"> </w:t>
      </w:r>
    </w:p>
    <w:p w14:paraId="386065F2" w14:textId="77777777" w:rsidR="00046265" w:rsidRDefault="005571DB" w:rsidP="00046265">
      <w:pPr>
        <w:pStyle w:val="RSCBasictext"/>
      </w:pPr>
      <w:r w:rsidRPr="005571DB">
        <w:t xml:space="preserve">The reduction, by zinc, of ammonium metavanadate(V) is a staple demonstration of the predictive power of standard electrode potentials. This classic reaction can reveal a beautiful series of greens, </w:t>
      </w:r>
      <w:proofErr w:type="gramStart"/>
      <w:r w:rsidRPr="005571DB">
        <w:t>blues</w:t>
      </w:r>
      <w:proofErr w:type="gramEnd"/>
      <w:r w:rsidRPr="005571DB">
        <w:t xml:space="preserve"> and violets, but methods suffer from slow reaction times (which means students only get to see the V(II) in a following lesson) or from a lack of clarity caused by small bubbles or additional zinc needed to speed up later reduction steps. </w:t>
      </w:r>
    </w:p>
    <w:p w14:paraId="37E5EB42" w14:textId="6065B1BC" w:rsidR="005571DB" w:rsidRDefault="005571DB" w:rsidP="00046265">
      <w:pPr>
        <w:pStyle w:val="RSCBasictext"/>
        <w:rPr>
          <w:b/>
          <w:bCs/>
        </w:rPr>
      </w:pPr>
      <w:r w:rsidRPr="005571DB">
        <w:t>With input from teachers and technicians online I developed a reliable and rapid demonstration of this reaction that gives excellent colour clarity and leaves more time for thinking and further experimentation.</w:t>
      </w:r>
    </w:p>
    <w:p w14:paraId="76BCA9E1" w14:textId="77777777" w:rsidR="00B812B1" w:rsidRPr="00B812B1" w:rsidRDefault="00B812B1" w:rsidP="00B812B1">
      <w:pPr>
        <w:pStyle w:val="RSCH3"/>
      </w:pPr>
      <w:r w:rsidRPr="00B812B1">
        <w:t>Equipment</w:t>
      </w:r>
    </w:p>
    <w:p w14:paraId="24183671" w14:textId="77777777" w:rsidR="00A80F57" w:rsidRDefault="00A80F57" w:rsidP="00A80F57">
      <w:pPr>
        <w:pStyle w:val="RSCBulletedlist"/>
      </w:pPr>
      <w:r>
        <w:t>250 cm</w:t>
      </w:r>
      <w:r w:rsidRPr="00A80F57">
        <w:rPr>
          <w:vertAlign w:val="superscript"/>
        </w:rPr>
        <w:t>3</w:t>
      </w:r>
      <w:r>
        <w:t xml:space="preserve"> conical flask or polystyrene cell culture flask</w:t>
      </w:r>
    </w:p>
    <w:p w14:paraId="4FED555B" w14:textId="77777777" w:rsidR="00A80F57" w:rsidRDefault="00A80F57" w:rsidP="00A80F57">
      <w:pPr>
        <w:pStyle w:val="RSCBulletedlist"/>
      </w:pPr>
      <w:r>
        <w:t>0.58 g ammonium metavanadate(V) (safety note: toxic, fatal if inhaled, irritating to skin and eyes)</w:t>
      </w:r>
    </w:p>
    <w:p w14:paraId="5EF068C3" w14:textId="77777777" w:rsidR="00A80F57" w:rsidRDefault="00A80F57" w:rsidP="00A80F57">
      <w:pPr>
        <w:pStyle w:val="RSCBulletedlist"/>
      </w:pPr>
      <w:r>
        <w:t>4–6 g zinc powder (safety note: flammable, very toxic to aquatic life with long-lasting effects)</w:t>
      </w:r>
    </w:p>
    <w:p w14:paraId="47EFDF79" w14:textId="77777777" w:rsidR="00A80F57" w:rsidRDefault="00A80F57" w:rsidP="00A80F57">
      <w:pPr>
        <w:pStyle w:val="RSCBulletedlist"/>
      </w:pPr>
      <w:r>
        <w:t>100 cm</w:t>
      </w:r>
      <w:r w:rsidRPr="00A80F57">
        <w:rPr>
          <w:vertAlign w:val="superscript"/>
        </w:rPr>
        <w:t>3</w:t>
      </w:r>
      <w:r>
        <w:t xml:space="preserve"> 2 M hydrochloric acid</w:t>
      </w:r>
    </w:p>
    <w:p w14:paraId="585D0E9B" w14:textId="77777777" w:rsidR="00A80F57" w:rsidRDefault="00A80F57" w:rsidP="00A80F57">
      <w:pPr>
        <w:pStyle w:val="RSCBulletedlist"/>
      </w:pPr>
      <w:r>
        <w:t>Tea bag (string-tagged cylindrical style)</w:t>
      </w:r>
    </w:p>
    <w:p w14:paraId="05062E7F" w14:textId="77777777" w:rsidR="00A80F57" w:rsidRDefault="00A80F57" w:rsidP="00A80F57">
      <w:pPr>
        <w:pStyle w:val="RSCBulletedlist"/>
      </w:pPr>
      <w:r>
        <w:t>Clamp and stand</w:t>
      </w:r>
    </w:p>
    <w:p w14:paraId="59327DF9" w14:textId="77777777" w:rsidR="00A80F57" w:rsidRDefault="00A80F57" w:rsidP="00A80F57">
      <w:pPr>
        <w:pStyle w:val="RSCBulletedlist"/>
      </w:pPr>
      <w:r>
        <w:t>1 L borosilicate beaker</w:t>
      </w:r>
    </w:p>
    <w:p w14:paraId="0117B05F" w14:textId="77777777" w:rsidR="00A80F57" w:rsidRDefault="00A80F57" w:rsidP="00A80F57">
      <w:pPr>
        <w:pStyle w:val="RSCBulletedlist"/>
      </w:pPr>
      <w:r>
        <w:t>Hot plate</w:t>
      </w:r>
    </w:p>
    <w:p w14:paraId="04D5EA1B" w14:textId="77777777" w:rsidR="00A80F57" w:rsidRDefault="00A80F57" w:rsidP="00A80F57">
      <w:pPr>
        <w:pStyle w:val="RSCBulletedlist"/>
      </w:pPr>
      <w:r>
        <w:t>Approximately 10 cm</w:t>
      </w:r>
      <w:r w:rsidRPr="00A80F57">
        <w:rPr>
          <w:vertAlign w:val="superscript"/>
        </w:rPr>
        <w:t>3</w:t>
      </w:r>
      <w:r>
        <w:t xml:space="preserve"> of 10 vol (3%) hydrogen peroxide in water or 20 cm</w:t>
      </w:r>
      <w:r w:rsidRPr="00A80F57">
        <w:rPr>
          <w:vertAlign w:val="superscript"/>
        </w:rPr>
        <w:t>3</w:t>
      </w:r>
      <w:r>
        <w:t xml:space="preserve"> of 0.1 M acidified potassium </w:t>
      </w:r>
      <w:proofErr w:type="gramStart"/>
      <w:r>
        <w:t>permanganate(</w:t>
      </w:r>
      <w:proofErr w:type="gramEnd"/>
      <w:r>
        <w:t>VII)</w:t>
      </w:r>
    </w:p>
    <w:p w14:paraId="0524D0B2" w14:textId="77777777" w:rsidR="00B812B1" w:rsidRPr="00B812B1" w:rsidRDefault="00B812B1" w:rsidP="00B812B1">
      <w:pPr>
        <w:pStyle w:val="RSCBulletedlist"/>
      </w:pPr>
      <w:r w:rsidRPr="00B812B1">
        <w:t>Indicate whether this is per group, per person or per class.</w:t>
      </w:r>
    </w:p>
    <w:p w14:paraId="7066FE00" w14:textId="77777777" w:rsidR="00B812B1" w:rsidRPr="00B812B1" w:rsidRDefault="00B812B1" w:rsidP="00B812B1">
      <w:pPr>
        <w:pStyle w:val="RSCH3"/>
      </w:pPr>
      <w:r w:rsidRPr="00B812B1">
        <w:t>Preparation</w:t>
      </w:r>
    </w:p>
    <w:p w14:paraId="264739B7" w14:textId="5DDA1CD6" w:rsidR="00A80F57" w:rsidRDefault="00A80F57" w:rsidP="00A80F57">
      <w:pPr>
        <w:pStyle w:val="RSCBulletedlist"/>
        <w:numPr>
          <w:ilvl w:val="0"/>
          <w:numId w:val="0"/>
        </w:numPr>
      </w:pPr>
      <w:r>
        <w:t>Work in a fume cupboard with the sash down and the extraction off. Wear splash-proof goggles and chemical resistant gloves when handling ammonium vanadate(V) and avoid raising dust. Make up a 0.05 M solution of acidified ammonium vanadate(V) by dissolving 0.58 g in 100 cm3 of 2 M hydrochloric acid. The powder may take a few minutes and some stirring to completely dissolve.</w:t>
      </w:r>
    </w:p>
    <w:p w14:paraId="19341799" w14:textId="32ED8A29" w:rsidR="00A80F57" w:rsidRDefault="00A80F57" w:rsidP="00A80F57">
      <w:pPr>
        <w:pStyle w:val="RSCBulletedlist"/>
        <w:numPr>
          <w:ilvl w:val="0"/>
          <w:numId w:val="0"/>
        </w:numPr>
      </w:pPr>
      <w:r>
        <w:t>Empty a string-tagged cylindrical-style tea bag and reload it with two to three spatulas of zinc powder (≈ 4 g). This is a large excess, but some zinc will be lost to competing reactions (</w:t>
      </w:r>
      <w:proofErr w:type="spellStart"/>
      <w:proofErr w:type="gramStart"/>
      <w:r>
        <w:t>eg</w:t>
      </w:r>
      <w:proofErr w:type="spellEnd"/>
      <w:proofErr w:type="gramEnd"/>
      <w:r>
        <w:t xml:space="preserve"> with the acid) and some fine powder will escape the bag. Tie the bag with string to make a loop ≈ 30 cm long; this gives plenty of slack to hang the tea bag from a clamp into the reaction flask (see Figure 1).</w:t>
      </w:r>
    </w:p>
    <w:p w14:paraId="2B87DD70" w14:textId="6E544BD1" w:rsidR="00A80F57" w:rsidRDefault="00A80F57" w:rsidP="00A80F57">
      <w:pPr>
        <w:pStyle w:val="RSCBulletedlist"/>
        <w:numPr>
          <w:ilvl w:val="0"/>
          <w:numId w:val="0"/>
        </w:numPr>
      </w:pPr>
      <w:r>
        <w:lastRenderedPageBreak/>
        <w:t>The reaction can be performed in a 250 cm³ conical flask. However, a cell culture flask is excellent for seeing the colour changes, because its flat surface provides good visibility, and the oblong shape allows you to visualise the solution through different path lengths to get the best colour saturation.</w:t>
      </w:r>
    </w:p>
    <w:p w14:paraId="7F3EC2A4" w14:textId="04DE3264" w:rsidR="00D00AB5" w:rsidRDefault="00A80F57" w:rsidP="00A80F57">
      <w:pPr>
        <w:pStyle w:val="RSCBulletedlist"/>
        <w:numPr>
          <w:ilvl w:val="0"/>
          <w:numId w:val="0"/>
        </w:numPr>
      </w:pPr>
      <w:r>
        <w:t>Place a few centimetres of water into the base of the 1 L beaker and pre-heat to around 80°C. Boil a kettle of water while you wait.</w:t>
      </w:r>
    </w:p>
    <w:p w14:paraId="44F42280" w14:textId="54D8A1A9" w:rsidR="00115FC9" w:rsidRDefault="00AF3A61" w:rsidP="00115FC9">
      <w:pPr>
        <w:pStyle w:val="RSCBulletedlist"/>
        <w:numPr>
          <w:ilvl w:val="0"/>
          <w:numId w:val="0"/>
        </w:numPr>
        <w:jc w:val="center"/>
      </w:pPr>
      <w:r>
        <w:rPr>
          <w:noProof/>
        </w:rPr>
        <w:drawing>
          <wp:inline distT="0" distB="0" distL="0" distR="0" wp14:anchorId="7B1B4902" wp14:editId="52B5B8B0">
            <wp:extent cx="3931200" cy="2811600"/>
            <wp:effectExtent l="0" t="0" r="0" b="8255"/>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3931200" cy="2811600"/>
                    </a:xfrm>
                    <a:prstGeom prst="rect">
                      <a:avLst/>
                    </a:prstGeom>
                  </pic:spPr>
                </pic:pic>
              </a:graphicData>
            </a:graphic>
          </wp:inline>
        </w:drawing>
      </w:r>
    </w:p>
    <w:p w14:paraId="7E28DCDD" w14:textId="2C7FD25D" w:rsidR="00115FC9" w:rsidRPr="00115FC9" w:rsidRDefault="00115FC9" w:rsidP="00115FC9">
      <w:pPr>
        <w:pStyle w:val="Caption"/>
        <w:jc w:val="center"/>
        <w:rPr>
          <w:rFonts w:ascii="Century Gothic" w:hAnsi="Century Gothic"/>
        </w:rPr>
      </w:pPr>
      <w:r w:rsidRPr="00115FC9">
        <w:rPr>
          <w:rFonts w:ascii="Century Gothic" w:hAnsi="Century Gothic"/>
        </w:rPr>
        <w:t xml:space="preserve">Figure </w:t>
      </w:r>
      <w:r w:rsidRPr="00115FC9">
        <w:rPr>
          <w:rFonts w:ascii="Century Gothic" w:hAnsi="Century Gothic"/>
        </w:rPr>
        <w:fldChar w:fldCharType="begin"/>
      </w:r>
      <w:r w:rsidRPr="00115FC9">
        <w:rPr>
          <w:rFonts w:ascii="Century Gothic" w:hAnsi="Century Gothic"/>
        </w:rPr>
        <w:instrText xml:space="preserve"> SEQ Figure \* ARABIC </w:instrText>
      </w:r>
      <w:r w:rsidRPr="00115FC9">
        <w:rPr>
          <w:rFonts w:ascii="Century Gothic" w:hAnsi="Century Gothic"/>
        </w:rPr>
        <w:fldChar w:fldCharType="separate"/>
      </w:r>
      <w:r w:rsidRPr="00115FC9">
        <w:rPr>
          <w:rFonts w:ascii="Century Gothic" w:hAnsi="Century Gothic"/>
          <w:noProof/>
        </w:rPr>
        <w:t>1</w:t>
      </w:r>
      <w:r w:rsidRPr="00115FC9">
        <w:rPr>
          <w:rFonts w:ascii="Century Gothic" w:hAnsi="Century Gothic"/>
        </w:rPr>
        <w:fldChar w:fldCharType="end"/>
      </w:r>
    </w:p>
    <w:p w14:paraId="17BFC0D4" w14:textId="77777777" w:rsidR="00A80F57" w:rsidRPr="00B812B1" w:rsidRDefault="00A80F57" w:rsidP="00A80F57">
      <w:pPr>
        <w:pStyle w:val="RSCH2"/>
      </w:pPr>
      <w:r>
        <w:t>In front of the class</w:t>
      </w:r>
    </w:p>
    <w:p w14:paraId="53984460" w14:textId="77777777" w:rsidR="00A80F57" w:rsidRDefault="00A80F57" w:rsidP="00A80F57">
      <w:pPr>
        <w:pStyle w:val="RSCBulletedlist"/>
        <w:numPr>
          <w:ilvl w:val="0"/>
          <w:numId w:val="0"/>
        </w:numPr>
      </w:pPr>
      <w:r>
        <w:t>Wear eye protection. Load 30–50 cm</w:t>
      </w:r>
      <w:r w:rsidRPr="00A80F57">
        <w:rPr>
          <w:vertAlign w:val="superscript"/>
        </w:rPr>
        <w:t>3</w:t>
      </w:r>
      <w:r>
        <w:t xml:space="preserve"> of the acidified vanadate(V) solution into the flask, float it in the water in the beaker and lower the tea bag through the neck above the solution. Top up the beaker with hot water from the kettle so the liquid in the flask is submerged. Adjust the clamp to lower the tea bag so that the base sits near the surface of the acidified vanadate(V) solution.</w:t>
      </w:r>
    </w:p>
    <w:p w14:paraId="1102598D" w14:textId="6E860A93" w:rsidR="00A80F57" w:rsidRDefault="00A80F57" w:rsidP="00A80F57">
      <w:pPr>
        <w:pStyle w:val="RSCBulletedlist"/>
        <w:numPr>
          <w:ilvl w:val="0"/>
          <w:numId w:val="0"/>
        </w:numPr>
      </w:pPr>
      <w:r>
        <w:t>Below the tea bag, the solution will turn blue, which will appear green as it mixes with the surrounding yellow solution. After a couple of minutes, the solution will be completely blue. It will then change to green and then purple in 10 minutes.</w:t>
      </w:r>
    </w:p>
    <w:p w14:paraId="622DF292" w14:textId="207B1F7E" w:rsidR="00A80F57" w:rsidRDefault="00A80F57" w:rsidP="00A80F57">
      <w:pPr>
        <w:pStyle w:val="RSCBulletedlist"/>
        <w:numPr>
          <w:ilvl w:val="0"/>
          <w:numId w:val="0"/>
        </w:numPr>
      </w:pPr>
      <w:r>
        <w:t xml:space="preserve">Adding 10 vol hydrogen peroxide, or 0.1 M acidified potassium </w:t>
      </w:r>
      <w:proofErr w:type="gramStart"/>
      <w:r>
        <w:t>permanganate(</w:t>
      </w:r>
      <w:proofErr w:type="gramEnd"/>
      <w:r>
        <w:t xml:space="preserve">VII) will cause the colour changes to reverse. If you use hydrogen peroxide, you can finish with a flourish with red </w:t>
      </w:r>
      <w:proofErr w:type="spellStart"/>
      <w:r>
        <w:t>monoperoxy</w:t>
      </w:r>
      <w:proofErr w:type="spellEnd"/>
      <w:r>
        <w:t xml:space="preserve"> vanadate, VO(O</w:t>
      </w:r>
      <w:proofErr w:type="gramStart"/>
      <w:r>
        <w:t>2)</w:t>
      </w:r>
      <w:r w:rsidRPr="00A80F57">
        <w:rPr>
          <w:vertAlign w:val="superscript"/>
        </w:rPr>
        <w:t>+</w:t>
      </w:r>
      <w:proofErr w:type="gramEnd"/>
      <w:r>
        <w:t xml:space="preserve"> (Gundersen, 1986). At this point stop adding oxidants because, in the absence of </w:t>
      </w:r>
      <w:proofErr w:type="gramStart"/>
      <w:r>
        <w:t>vanadium(</w:t>
      </w:r>
      <w:proofErr w:type="gramEnd"/>
      <w:r>
        <w:t>IV), chlorine could be produced.</w:t>
      </w:r>
    </w:p>
    <w:p w14:paraId="2E73D94D" w14:textId="2D641F1D" w:rsidR="00AF3A61" w:rsidRDefault="00AF3A61" w:rsidP="00A80F57">
      <w:pPr>
        <w:pStyle w:val="RSCBulletedlist"/>
        <w:numPr>
          <w:ilvl w:val="0"/>
          <w:numId w:val="0"/>
        </w:numPr>
      </w:pPr>
    </w:p>
    <w:p w14:paraId="750A6197" w14:textId="5075003B" w:rsidR="00AF3A61" w:rsidRDefault="00AF3A61" w:rsidP="00A80F57">
      <w:pPr>
        <w:pStyle w:val="RSCBulletedlist"/>
        <w:numPr>
          <w:ilvl w:val="0"/>
          <w:numId w:val="0"/>
        </w:numPr>
      </w:pPr>
    </w:p>
    <w:p w14:paraId="3396B1A6" w14:textId="77777777" w:rsidR="00981941" w:rsidRDefault="00981941" w:rsidP="00A80F57">
      <w:pPr>
        <w:pStyle w:val="RSCBulletedlist"/>
        <w:numPr>
          <w:ilvl w:val="0"/>
          <w:numId w:val="0"/>
        </w:numPr>
      </w:pPr>
    </w:p>
    <w:p w14:paraId="379BED00" w14:textId="77777777" w:rsidR="0046387A" w:rsidRPr="00B812B1" w:rsidRDefault="0046387A" w:rsidP="0046387A">
      <w:pPr>
        <w:pStyle w:val="RSCH2"/>
      </w:pPr>
      <w:r>
        <w:lastRenderedPageBreak/>
        <w:t>Teaching goal</w:t>
      </w:r>
    </w:p>
    <w:p w14:paraId="74FD61C0" w14:textId="00D546F8" w:rsidR="0046387A" w:rsidRDefault="0046387A" w:rsidP="00A80F57">
      <w:pPr>
        <w:pStyle w:val="RSCBulletedlist"/>
        <w:numPr>
          <w:ilvl w:val="0"/>
          <w:numId w:val="0"/>
        </w:numPr>
      </w:pPr>
      <w:r w:rsidRPr="0046387A">
        <w:t>This reaction is commonly used for students to test their understanding of the predictability of redox reactions using the electrochemical series. They should be able to predict, with the relevant data (Figure 2), that zinc will couple both with VO</w:t>
      </w:r>
      <w:r w:rsidRPr="00AF3A61">
        <w:rPr>
          <w:vertAlign w:val="subscript"/>
        </w:rPr>
        <w:t>2</w:t>
      </w:r>
      <w:r w:rsidRPr="00AF3A61">
        <w:rPr>
          <w:vertAlign w:val="superscript"/>
        </w:rPr>
        <w:t>+</w:t>
      </w:r>
      <w:r w:rsidRPr="0046387A">
        <w:t xml:space="preserve"> and H</w:t>
      </w:r>
      <w:r w:rsidRPr="00AF3A61">
        <w:rPr>
          <w:vertAlign w:val="superscript"/>
        </w:rPr>
        <w:t>+</w:t>
      </w:r>
      <w:r w:rsidRPr="0046387A">
        <w:t xml:space="preserve"> to produce VO</w:t>
      </w:r>
      <w:r w:rsidRPr="00AF3A61">
        <w:rPr>
          <w:vertAlign w:val="superscript"/>
        </w:rPr>
        <w:t>2+</w:t>
      </w:r>
      <w:r w:rsidRPr="0046387A">
        <w:t xml:space="preserve"> and H</w:t>
      </w:r>
      <w:r w:rsidRPr="00AF3A61">
        <w:rPr>
          <w:vertAlign w:val="subscript"/>
        </w:rPr>
        <w:t>2</w:t>
      </w:r>
      <w:r w:rsidRPr="0046387A">
        <w:t>, respectively, and that the zinc will continue to reduce the vanadium to V</w:t>
      </w:r>
      <w:r w:rsidRPr="00AF3A61">
        <w:rPr>
          <w:vertAlign w:val="superscript"/>
        </w:rPr>
        <w:t>2+</w:t>
      </w:r>
      <w:r w:rsidRPr="0046387A">
        <w:t>.</w:t>
      </w:r>
    </w:p>
    <w:p w14:paraId="111054DD" w14:textId="7F773FA4" w:rsidR="00B62B6A" w:rsidRDefault="00A742EC" w:rsidP="00A80F57">
      <w:pPr>
        <w:pStyle w:val="RSCBulletedlist"/>
        <w:numPr>
          <w:ilvl w:val="0"/>
          <w:numId w:val="0"/>
        </w:numPr>
      </w:pPr>
      <w:r>
        <w:rPr>
          <w:noProof/>
        </w:rPr>
        <w:drawing>
          <wp:inline distT="0" distB="0" distL="0" distR="0" wp14:anchorId="54BC9930" wp14:editId="3395EB36">
            <wp:extent cx="5731510" cy="3728085"/>
            <wp:effectExtent l="0" t="0" r="2540" b="5715"/>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3728085"/>
                    </a:xfrm>
                    <a:prstGeom prst="rect">
                      <a:avLst/>
                    </a:prstGeom>
                  </pic:spPr>
                </pic:pic>
              </a:graphicData>
            </a:graphic>
          </wp:inline>
        </w:drawing>
      </w:r>
    </w:p>
    <w:tbl>
      <w:tblPr>
        <w:tblStyle w:val="TableGrid"/>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2494"/>
      </w:tblGrid>
      <w:tr w:rsidR="00A742EC" w:rsidRPr="00500D36" w14:paraId="0A5967B9" w14:textId="77777777" w:rsidTr="004D6776">
        <w:tc>
          <w:tcPr>
            <w:tcW w:w="5954" w:type="dxa"/>
          </w:tcPr>
          <w:p w14:paraId="287962FE" w14:textId="77777777" w:rsidR="00A742EC" w:rsidRPr="00C87BF4" w:rsidRDefault="00A742EC" w:rsidP="004D6776">
            <w:pPr>
              <w:jc w:val="center"/>
              <w:rPr>
                <w:rFonts w:ascii="Century Gothic" w:hAnsi="Century Gothic" w:cs="Calibri"/>
                <w:color w:val="FF40FF"/>
              </w:rPr>
            </w:pPr>
            <w:bookmarkStart w:id="0" w:name="_Hlk124517256"/>
            <w:r w:rsidRPr="00C87BF4">
              <w:rPr>
                <w:rFonts w:ascii="Century Gothic" w:hAnsi="Century Gothic" w:cs="Calibri"/>
                <w:color w:val="000000" w:themeColor="text1"/>
              </w:rPr>
              <w:t>H</w:t>
            </w:r>
            <w:r w:rsidRPr="00C87BF4">
              <w:rPr>
                <w:rFonts w:ascii="Century Gothic" w:hAnsi="Century Gothic" w:cs="Calibri"/>
                <w:color w:val="000000" w:themeColor="text1"/>
                <w:vertAlign w:val="subscript"/>
              </w:rPr>
              <w:t>2</w:t>
            </w:r>
            <w:r w:rsidRPr="00C87BF4">
              <w:rPr>
                <w:rFonts w:ascii="Century Gothic" w:hAnsi="Century Gothic" w:cs="Calibri"/>
                <w:color w:val="000000" w:themeColor="text1"/>
              </w:rPr>
              <w:t>O</w:t>
            </w:r>
            <w:r w:rsidRPr="00C87BF4">
              <w:rPr>
                <w:rFonts w:ascii="Century Gothic" w:hAnsi="Century Gothic" w:cs="Calibri"/>
                <w:color w:val="000000" w:themeColor="text1"/>
                <w:vertAlign w:val="subscript"/>
              </w:rPr>
              <w:t>2</w:t>
            </w:r>
            <w:r w:rsidRPr="00C87BF4">
              <w:rPr>
                <w:rFonts w:ascii="Century Gothic" w:hAnsi="Century Gothic" w:cs="Calibri"/>
                <w:color w:val="000000" w:themeColor="text1"/>
              </w:rPr>
              <w:t xml:space="preserve">(aq.) + </w:t>
            </w:r>
            <w:r w:rsidRPr="00C87BF4">
              <w:rPr>
                <w:rFonts w:ascii="Century Gothic" w:hAnsi="Century Gothic" w:cs="Calibri"/>
              </w:rPr>
              <w:t>2H</w:t>
            </w:r>
            <w:r w:rsidRPr="00C87BF4">
              <w:rPr>
                <w:rFonts w:ascii="Century Gothic" w:hAnsi="Century Gothic" w:cs="Calibri"/>
                <w:vertAlign w:val="superscript"/>
              </w:rPr>
              <w:t>+</w:t>
            </w:r>
            <w:r w:rsidRPr="00C87BF4">
              <w:rPr>
                <w:rFonts w:ascii="Century Gothic" w:hAnsi="Century Gothic" w:cs="Calibri"/>
              </w:rPr>
              <w:t>(aq.)</w:t>
            </w:r>
            <w:r w:rsidRPr="00C87BF4">
              <w:rPr>
                <w:rFonts w:ascii="Century Gothic" w:hAnsi="Century Gothic" w:cs="Calibri"/>
                <w:color w:val="FF40FF"/>
              </w:rPr>
              <w:t xml:space="preserve"> </w:t>
            </w:r>
            <w:r w:rsidRPr="00C87BF4">
              <w:rPr>
                <w:rFonts w:ascii="Century Gothic" w:hAnsi="Century Gothic" w:cs="Calibri"/>
              </w:rPr>
              <w:t>+ 2e</w:t>
            </w:r>
            <w:r w:rsidRPr="00C87BF4">
              <w:rPr>
                <w:rFonts w:ascii="Century Gothic" w:hAnsi="Century Gothic" w:cs="Calibri"/>
                <w:vertAlign w:val="superscript"/>
              </w:rPr>
              <w:t>–</w:t>
            </w:r>
            <w:r w:rsidRPr="00C87BF4">
              <w:rPr>
                <w:rFonts w:ascii="Century Gothic" w:hAnsi="Century Gothic" w:cs="Calibri"/>
              </w:rPr>
              <w:t xml:space="preserve"> </w:t>
            </w:r>
            <w:r w:rsidRPr="00C87BF4">
              <w:rPr>
                <w:rFonts w:ascii="Cambria Math" w:hAnsi="Cambria Math" w:cs="Cambria Math"/>
              </w:rPr>
              <w:t>⇌</w:t>
            </w:r>
            <w:r w:rsidRPr="00C87BF4">
              <w:rPr>
                <w:rFonts w:ascii="Century Gothic" w:hAnsi="Century Gothic" w:cs="Cambria Math"/>
              </w:rPr>
              <w:t xml:space="preserve"> </w:t>
            </w:r>
            <w:r w:rsidRPr="00C87BF4">
              <w:rPr>
                <w:rFonts w:ascii="Century Gothic" w:hAnsi="Century Gothic" w:cs="Calibri"/>
              </w:rPr>
              <w:t>2H</w:t>
            </w:r>
            <w:r w:rsidRPr="00C87BF4">
              <w:rPr>
                <w:rFonts w:ascii="Century Gothic" w:hAnsi="Century Gothic" w:cs="Calibri"/>
                <w:vertAlign w:val="subscript"/>
              </w:rPr>
              <w:t>2</w:t>
            </w:r>
            <w:r w:rsidRPr="00C87BF4">
              <w:rPr>
                <w:rFonts w:ascii="Century Gothic" w:hAnsi="Century Gothic" w:cs="Calibri"/>
              </w:rPr>
              <w:t>O(l)</w:t>
            </w:r>
          </w:p>
        </w:tc>
        <w:tc>
          <w:tcPr>
            <w:tcW w:w="2494" w:type="dxa"/>
          </w:tcPr>
          <w:p w14:paraId="53D76C0F" w14:textId="77777777" w:rsidR="00A742EC" w:rsidRPr="00C87BF4" w:rsidRDefault="00A742EC" w:rsidP="004D6776">
            <w:pPr>
              <w:jc w:val="center"/>
              <w:rPr>
                <w:rFonts w:ascii="Century Gothic" w:hAnsi="Century Gothic" w:cs="Calibri"/>
              </w:rPr>
            </w:pPr>
            <w:proofErr w:type="spellStart"/>
            <w:r w:rsidRPr="00C87BF4">
              <w:rPr>
                <w:rFonts w:ascii="Century Gothic" w:hAnsi="Century Gothic" w:cs="Calibri"/>
              </w:rPr>
              <w:t>E</w:t>
            </w:r>
            <w:r w:rsidRPr="00C87BF4">
              <w:rPr>
                <w:sz w:val="25"/>
                <w:szCs w:val="25"/>
              </w:rPr>
              <w:t>ʅ</w:t>
            </w:r>
            <w:proofErr w:type="spellEnd"/>
            <w:r w:rsidRPr="00C87BF4">
              <w:rPr>
                <w:rFonts w:ascii="Century Gothic" w:hAnsi="Century Gothic" w:cs="Calibri"/>
              </w:rPr>
              <w:t xml:space="preserve"> = +1.78V</w:t>
            </w:r>
          </w:p>
        </w:tc>
      </w:tr>
      <w:tr w:rsidR="00A742EC" w:rsidRPr="00500D36" w14:paraId="43E0C7ED" w14:textId="77777777" w:rsidTr="004D6776">
        <w:tc>
          <w:tcPr>
            <w:tcW w:w="5954" w:type="dxa"/>
          </w:tcPr>
          <w:p w14:paraId="22ECE9BE" w14:textId="77777777" w:rsidR="00A742EC" w:rsidRPr="00C87BF4" w:rsidRDefault="00A742EC" w:rsidP="004D6776">
            <w:pPr>
              <w:jc w:val="center"/>
              <w:rPr>
                <w:rFonts w:ascii="Century Gothic" w:hAnsi="Century Gothic"/>
              </w:rPr>
            </w:pPr>
            <w:r w:rsidRPr="00C87BF4">
              <w:rPr>
                <w:rFonts w:ascii="Century Gothic" w:hAnsi="Century Gothic" w:cs="Calibri"/>
                <w:color w:val="FF40FF"/>
              </w:rPr>
              <w:t>MnO</w:t>
            </w:r>
            <w:r w:rsidRPr="00C87BF4">
              <w:rPr>
                <w:rFonts w:ascii="Century Gothic" w:hAnsi="Century Gothic" w:cs="Calibri"/>
                <w:color w:val="FF40FF"/>
                <w:vertAlign w:val="subscript"/>
              </w:rPr>
              <w:t>4</w:t>
            </w:r>
            <w:r w:rsidRPr="00C87BF4">
              <w:rPr>
                <w:rFonts w:ascii="Century Gothic" w:hAnsi="Century Gothic" w:cs="Calibri"/>
                <w:color w:val="FF40FF"/>
                <w:vertAlign w:val="superscript"/>
              </w:rPr>
              <w:t>–</w:t>
            </w:r>
            <w:r w:rsidRPr="00C87BF4">
              <w:rPr>
                <w:rFonts w:ascii="Century Gothic" w:hAnsi="Century Gothic" w:cs="Calibri"/>
              </w:rPr>
              <w:t xml:space="preserve"> (aq.) + 8H</w:t>
            </w:r>
            <w:r w:rsidRPr="00C87BF4">
              <w:rPr>
                <w:rFonts w:ascii="Century Gothic" w:hAnsi="Century Gothic" w:cs="Calibri"/>
                <w:vertAlign w:val="superscript"/>
              </w:rPr>
              <w:t>+</w:t>
            </w:r>
            <w:r w:rsidRPr="00C87BF4">
              <w:rPr>
                <w:rFonts w:ascii="Century Gothic" w:hAnsi="Century Gothic" w:cs="Calibri"/>
              </w:rPr>
              <w:t>(aq.) + 5e</w:t>
            </w:r>
            <w:r w:rsidRPr="00C87BF4">
              <w:rPr>
                <w:rFonts w:ascii="Century Gothic" w:hAnsi="Century Gothic" w:cs="Calibri"/>
                <w:vertAlign w:val="superscript"/>
              </w:rPr>
              <w:t>–</w:t>
            </w:r>
            <w:r w:rsidRPr="00C87BF4">
              <w:rPr>
                <w:rFonts w:ascii="Century Gothic" w:hAnsi="Century Gothic" w:cs="Calibri"/>
              </w:rPr>
              <w:t xml:space="preserve"> </w:t>
            </w:r>
            <w:r w:rsidRPr="00C87BF4">
              <w:rPr>
                <w:rFonts w:ascii="Cambria Math" w:hAnsi="Cambria Math" w:cs="Cambria Math"/>
              </w:rPr>
              <w:t>⇌</w:t>
            </w:r>
            <w:r w:rsidRPr="00C87BF4">
              <w:rPr>
                <w:rFonts w:ascii="Century Gothic" w:hAnsi="Century Gothic" w:cs="Calibri"/>
              </w:rPr>
              <w:t xml:space="preserve"> </w:t>
            </w:r>
            <w:r w:rsidRPr="00C87BF4">
              <w:rPr>
                <w:rFonts w:ascii="Century Gothic" w:hAnsi="Century Gothic" w:cs="Calibri"/>
                <w:color w:val="000000" w:themeColor="text1"/>
              </w:rPr>
              <w:t>Mn</w:t>
            </w:r>
            <w:r w:rsidRPr="00C87BF4">
              <w:rPr>
                <w:rFonts w:ascii="Century Gothic" w:hAnsi="Century Gothic" w:cs="Calibri"/>
                <w:color w:val="000000" w:themeColor="text1"/>
                <w:vertAlign w:val="superscript"/>
              </w:rPr>
              <w:t>2+</w:t>
            </w:r>
            <w:r w:rsidRPr="00C87BF4">
              <w:rPr>
                <w:rFonts w:ascii="Century Gothic" w:hAnsi="Century Gothic" w:cs="Calibri"/>
              </w:rPr>
              <w:t>(aq.) + 4H</w:t>
            </w:r>
            <w:r w:rsidRPr="00C87BF4">
              <w:rPr>
                <w:rFonts w:ascii="Century Gothic" w:hAnsi="Century Gothic" w:cs="Calibri"/>
                <w:vertAlign w:val="subscript"/>
              </w:rPr>
              <w:t>2</w:t>
            </w:r>
            <w:r w:rsidRPr="00C87BF4">
              <w:rPr>
                <w:rFonts w:ascii="Century Gothic" w:hAnsi="Century Gothic" w:cs="Calibri"/>
              </w:rPr>
              <w:t>O(l)</w:t>
            </w:r>
          </w:p>
        </w:tc>
        <w:tc>
          <w:tcPr>
            <w:tcW w:w="2494" w:type="dxa"/>
          </w:tcPr>
          <w:p w14:paraId="75CFE713" w14:textId="77777777" w:rsidR="00A742EC" w:rsidRPr="00C87BF4" w:rsidRDefault="00A742EC" w:rsidP="004D6776">
            <w:pPr>
              <w:jc w:val="center"/>
              <w:rPr>
                <w:rFonts w:ascii="Century Gothic" w:hAnsi="Century Gothic"/>
              </w:rPr>
            </w:pPr>
            <w:proofErr w:type="spellStart"/>
            <w:r w:rsidRPr="00C87BF4">
              <w:rPr>
                <w:rFonts w:ascii="Century Gothic" w:hAnsi="Century Gothic" w:cs="Calibri"/>
              </w:rPr>
              <w:t>E</w:t>
            </w:r>
            <w:r w:rsidRPr="00C87BF4">
              <w:rPr>
                <w:sz w:val="25"/>
                <w:szCs w:val="25"/>
              </w:rPr>
              <w:t>ʅ</w:t>
            </w:r>
            <w:proofErr w:type="spellEnd"/>
            <w:r w:rsidRPr="00C87BF4">
              <w:rPr>
                <w:rFonts w:ascii="Century Gothic" w:hAnsi="Century Gothic" w:cs="Calibri"/>
              </w:rPr>
              <w:t xml:space="preserve"> = +1.51V</w:t>
            </w:r>
          </w:p>
        </w:tc>
      </w:tr>
      <w:tr w:rsidR="00A742EC" w:rsidRPr="00500D36" w14:paraId="2DC7F640" w14:textId="77777777" w:rsidTr="004D6776">
        <w:tc>
          <w:tcPr>
            <w:tcW w:w="5954" w:type="dxa"/>
          </w:tcPr>
          <w:p w14:paraId="2162AB09" w14:textId="77777777" w:rsidR="00A742EC" w:rsidRPr="00C87BF4" w:rsidRDefault="00A742EC" w:rsidP="004D6776">
            <w:pPr>
              <w:jc w:val="center"/>
              <w:rPr>
                <w:rFonts w:ascii="Century Gothic" w:hAnsi="Century Gothic"/>
                <w:b/>
                <w:bCs/>
              </w:rPr>
            </w:pPr>
            <w:r w:rsidRPr="00C87BF4">
              <w:rPr>
                <w:rFonts w:ascii="Century Gothic" w:hAnsi="Century Gothic" w:cs="Calibri"/>
                <w:b/>
                <w:bCs/>
                <w:color w:val="FFC000"/>
              </w:rPr>
              <w:t>VO</w:t>
            </w:r>
            <w:r w:rsidRPr="00C87BF4">
              <w:rPr>
                <w:rFonts w:ascii="Century Gothic" w:hAnsi="Century Gothic" w:cs="Calibri"/>
                <w:b/>
                <w:bCs/>
                <w:color w:val="FFC000"/>
                <w:vertAlign w:val="subscript"/>
              </w:rPr>
              <w:t>2</w:t>
            </w:r>
            <w:r w:rsidRPr="00C87BF4">
              <w:rPr>
                <w:rFonts w:ascii="Century Gothic" w:hAnsi="Century Gothic" w:cs="Calibri"/>
                <w:b/>
                <w:bCs/>
                <w:color w:val="FFC000"/>
                <w:vertAlign w:val="superscript"/>
              </w:rPr>
              <w:t>+</w:t>
            </w:r>
            <w:r w:rsidRPr="00C87BF4">
              <w:rPr>
                <w:rFonts w:ascii="Century Gothic" w:hAnsi="Century Gothic" w:cs="Calibri"/>
                <w:b/>
                <w:bCs/>
              </w:rPr>
              <w:t>(aq.) + 2H</w:t>
            </w:r>
            <w:r w:rsidRPr="00C87BF4">
              <w:rPr>
                <w:rFonts w:ascii="Century Gothic" w:hAnsi="Century Gothic" w:cs="Calibri"/>
                <w:b/>
                <w:bCs/>
                <w:vertAlign w:val="superscript"/>
              </w:rPr>
              <w:t>+</w:t>
            </w:r>
            <w:r w:rsidRPr="00C87BF4">
              <w:rPr>
                <w:rFonts w:ascii="Century Gothic" w:hAnsi="Century Gothic" w:cs="Calibri"/>
                <w:b/>
                <w:bCs/>
              </w:rPr>
              <w:t>(aq.) + e</w:t>
            </w:r>
            <w:r w:rsidRPr="00C87BF4">
              <w:rPr>
                <w:rFonts w:ascii="Century Gothic" w:hAnsi="Century Gothic" w:cs="Calibri"/>
                <w:b/>
                <w:bCs/>
                <w:vertAlign w:val="superscript"/>
              </w:rPr>
              <w:t>–</w:t>
            </w:r>
            <w:r w:rsidRPr="00C87BF4">
              <w:rPr>
                <w:rFonts w:ascii="Century Gothic" w:hAnsi="Century Gothic" w:cs="Calibri"/>
                <w:b/>
                <w:bCs/>
              </w:rPr>
              <w:t xml:space="preserve"> </w:t>
            </w:r>
            <w:r w:rsidRPr="00C87BF4">
              <w:rPr>
                <w:rFonts w:ascii="Cambria Math" w:hAnsi="Cambria Math" w:cs="Cambria Math"/>
                <w:b/>
                <w:bCs/>
              </w:rPr>
              <w:t>⇌</w:t>
            </w:r>
            <w:r w:rsidRPr="00C87BF4">
              <w:rPr>
                <w:rFonts w:ascii="Century Gothic" w:hAnsi="Century Gothic" w:cs="Calibri"/>
                <w:b/>
                <w:bCs/>
              </w:rPr>
              <w:t xml:space="preserve"> </w:t>
            </w:r>
            <w:r w:rsidRPr="00C87BF4">
              <w:rPr>
                <w:rFonts w:ascii="Century Gothic" w:hAnsi="Century Gothic" w:cs="Calibri"/>
                <w:b/>
                <w:bCs/>
                <w:color w:val="4472C4" w:themeColor="accent1"/>
              </w:rPr>
              <w:t>VO</w:t>
            </w:r>
            <w:r w:rsidRPr="00C87BF4">
              <w:rPr>
                <w:rFonts w:ascii="Century Gothic" w:hAnsi="Century Gothic" w:cs="Calibri"/>
                <w:b/>
                <w:bCs/>
                <w:color w:val="4472C4" w:themeColor="accent1"/>
                <w:vertAlign w:val="superscript"/>
              </w:rPr>
              <w:t>2+</w:t>
            </w:r>
            <w:r w:rsidRPr="00C87BF4">
              <w:rPr>
                <w:rFonts w:ascii="Century Gothic" w:hAnsi="Century Gothic" w:cs="Calibri"/>
                <w:b/>
                <w:bCs/>
              </w:rPr>
              <w:t>(aq.) + H</w:t>
            </w:r>
            <w:r w:rsidRPr="00C87BF4">
              <w:rPr>
                <w:rFonts w:ascii="Century Gothic" w:hAnsi="Century Gothic" w:cs="Calibri"/>
                <w:b/>
                <w:bCs/>
                <w:vertAlign w:val="subscript"/>
              </w:rPr>
              <w:t>2</w:t>
            </w:r>
            <w:r w:rsidRPr="00C87BF4">
              <w:rPr>
                <w:rFonts w:ascii="Century Gothic" w:hAnsi="Century Gothic" w:cs="Calibri"/>
                <w:b/>
                <w:bCs/>
              </w:rPr>
              <w:t>O(l)</w:t>
            </w:r>
          </w:p>
        </w:tc>
        <w:tc>
          <w:tcPr>
            <w:tcW w:w="2494" w:type="dxa"/>
          </w:tcPr>
          <w:p w14:paraId="61484D3D" w14:textId="77777777" w:rsidR="00A742EC" w:rsidRPr="00C87BF4" w:rsidRDefault="00A742EC" w:rsidP="004D6776">
            <w:pPr>
              <w:jc w:val="center"/>
              <w:rPr>
                <w:rFonts w:ascii="Century Gothic" w:hAnsi="Century Gothic"/>
                <w:b/>
                <w:bCs/>
              </w:rPr>
            </w:pPr>
            <w:proofErr w:type="spellStart"/>
            <w:r w:rsidRPr="00C87BF4">
              <w:rPr>
                <w:rFonts w:ascii="Century Gothic" w:hAnsi="Century Gothic" w:cs="Calibri"/>
                <w:b/>
                <w:bCs/>
              </w:rPr>
              <w:t>E</w:t>
            </w:r>
            <w:r w:rsidRPr="00C87BF4">
              <w:rPr>
                <w:sz w:val="25"/>
                <w:szCs w:val="25"/>
              </w:rPr>
              <w:t>ʅ</w:t>
            </w:r>
            <w:proofErr w:type="spellEnd"/>
            <w:r w:rsidRPr="00C87BF4">
              <w:rPr>
                <w:rFonts w:ascii="Century Gothic" w:hAnsi="Century Gothic" w:cs="Calibri"/>
                <w:b/>
                <w:bCs/>
              </w:rPr>
              <w:t xml:space="preserve"> = +1.00V</w:t>
            </w:r>
          </w:p>
        </w:tc>
      </w:tr>
      <w:tr w:rsidR="00A742EC" w:rsidRPr="00500D36" w14:paraId="6811ECA5" w14:textId="77777777" w:rsidTr="004D6776">
        <w:tc>
          <w:tcPr>
            <w:tcW w:w="5954" w:type="dxa"/>
          </w:tcPr>
          <w:p w14:paraId="6B3ECDF6" w14:textId="77777777" w:rsidR="00A742EC" w:rsidRPr="00C87BF4" w:rsidRDefault="00A742EC" w:rsidP="004D6776">
            <w:pPr>
              <w:jc w:val="center"/>
              <w:rPr>
                <w:rFonts w:ascii="Century Gothic" w:hAnsi="Century Gothic"/>
                <w:b/>
                <w:bCs/>
              </w:rPr>
            </w:pPr>
            <w:r w:rsidRPr="00C87BF4">
              <w:rPr>
                <w:rFonts w:ascii="Century Gothic" w:hAnsi="Century Gothic" w:cs="Calibri"/>
                <w:b/>
                <w:bCs/>
                <w:color w:val="4472C4" w:themeColor="accent1"/>
              </w:rPr>
              <w:t>VO</w:t>
            </w:r>
            <w:r w:rsidRPr="00C87BF4">
              <w:rPr>
                <w:rFonts w:ascii="Century Gothic" w:hAnsi="Century Gothic" w:cs="Calibri"/>
                <w:b/>
                <w:bCs/>
                <w:color w:val="4472C4" w:themeColor="accent1"/>
                <w:vertAlign w:val="superscript"/>
              </w:rPr>
              <w:t>2+</w:t>
            </w:r>
            <w:r w:rsidRPr="00C87BF4">
              <w:rPr>
                <w:rFonts w:ascii="Century Gothic" w:hAnsi="Century Gothic" w:cs="Calibri"/>
                <w:b/>
                <w:bCs/>
              </w:rPr>
              <w:t xml:space="preserve"> (aq.) + 2H</w:t>
            </w:r>
            <w:r w:rsidRPr="00C87BF4">
              <w:rPr>
                <w:rFonts w:ascii="Century Gothic" w:hAnsi="Century Gothic" w:cs="Calibri"/>
                <w:b/>
                <w:bCs/>
                <w:vertAlign w:val="superscript"/>
              </w:rPr>
              <w:t>+</w:t>
            </w:r>
            <w:r w:rsidRPr="00C87BF4">
              <w:rPr>
                <w:rFonts w:ascii="Century Gothic" w:hAnsi="Century Gothic" w:cs="Calibri"/>
                <w:b/>
                <w:bCs/>
              </w:rPr>
              <w:t>(aq.) + e</w:t>
            </w:r>
            <w:r w:rsidRPr="00C87BF4">
              <w:rPr>
                <w:rFonts w:ascii="Century Gothic" w:hAnsi="Century Gothic" w:cs="Calibri"/>
                <w:b/>
                <w:bCs/>
                <w:vertAlign w:val="superscript"/>
              </w:rPr>
              <w:t>–</w:t>
            </w:r>
            <w:r w:rsidRPr="00C87BF4">
              <w:rPr>
                <w:rFonts w:ascii="Century Gothic" w:hAnsi="Century Gothic" w:cs="Calibri"/>
                <w:b/>
                <w:bCs/>
              </w:rPr>
              <w:t xml:space="preserve"> </w:t>
            </w:r>
            <w:r w:rsidRPr="00C87BF4">
              <w:rPr>
                <w:rFonts w:ascii="Cambria Math" w:hAnsi="Cambria Math" w:cs="Cambria Math"/>
                <w:b/>
                <w:bCs/>
              </w:rPr>
              <w:t>⇌</w:t>
            </w:r>
            <w:r w:rsidRPr="00C87BF4">
              <w:rPr>
                <w:rFonts w:ascii="Century Gothic" w:hAnsi="Century Gothic" w:cs="Calibri"/>
                <w:b/>
                <w:bCs/>
              </w:rPr>
              <w:t xml:space="preserve"> </w:t>
            </w:r>
            <w:r w:rsidRPr="00C87BF4">
              <w:rPr>
                <w:rFonts w:ascii="Century Gothic" w:hAnsi="Century Gothic" w:cs="Calibri"/>
                <w:b/>
                <w:bCs/>
                <w:color w:val="538135" w:themeColor="accent6" w:themeShade="BF"/>
              </w:rPr>
              <w:t>V</w:t>
            </w:r>
            <w:r w:rsidRPr="00C87BF4">
              <w:rPr>
                <w:rFonts w:ascii="Century Gothic" w:hAnsi="Century Gothic" w:cs="Calibri"/>
                <w:b/>
                <w:bCs/>
                <w:color w:val="538135" w:themeColor="accent6" w:themeShade="BF"/>
                <w:vertAlign w:val="superscript"/>
              </w:rPr>
              <w:t>3+</w:t>
            </w:r>
            <w:r w:rsidRPr="00C87BF4">
              <w:rPr>
                <w:rFonts w:ascii="Century Gothic" w:hAnsi="Century Gothic" w:cs="Calibri"/>
                <w:b/>
                <w:bCs/>
              </w:rPr>
              <w:t>(aq.) + H</w:t>
            </w:r>
            <w:r w:rsidRPr="00C87BF4">
              <w:rPr>
                <w:rFonts w:ascii="Century Gothic" w:hAnsi="Century Gothic" w:cs="Calibri"/>
                <w:b/>
                <w:bCs/>
                <w:vertAlign w:val="subscript"/>
              </w:rPr>
              <w:t>2</w:t>
            </w:r>
            <w:r w:rsidRPr="00C87BF4">
              <w:rPr>
                <w:rFonts w:ascii="Century Gothic" w:hAnsi="Century Gothic" w:cs="Calibri"/>
                <w:b/>
                <w:bCs/>
              </w:rPr>
              <w:t>O(l)</w:t>
            </w:r>
          </w:p>
        </w:tc>
        <w:tc>
          <w:tcPr>
            <w:tcW w:w="2494" w:type="dxa"/>
          </w:tcPr>
          <w:p w14:paraId="637058F7" w14:textId="77777777" w:rsidR="00A742EC" w:rsidRPr="00C87BF4" w:rsidRDefault="00A742EC" w:rsidP="004D6776">
            <w:pPr>
              <w:jc w:val="center"/>
              <w:rPr>
                <w:rFonts w:ascii="Century Gothic" w:hAnsi="Century Gothic"/>
                <w:b/>
                <w:bCs/>
              </w:rPr>
            </w:pPr>
            <w:proofErr w:type="spellStart"/>
            <w:r w:rsidRPr="00C87BF4">
              <w:rPr>
                <w:rFonts w:ascii="Century Gothic" w:hAnsi="Century Gothic" w:cs="Calibri"/>
                <w:b/>
                <w:bCs/>
              </w:rPr>
              <w:t>E</w:t>
            </w:r>
            <w:r w:rsidRPr="00C87BF4">
              <w:rPr>
                <w:sz w:val="25"/>
                <w:szCs w:val="25"/>
              </w:rPr>
              <w:t>ʅ</w:t>
            </w:r>
            <w:proofErr w:type="spellEnd"/>
            <w:r w:rsidRPr="00C87BF4">
              <w:rPr>
                <w:rFonts w:ascii="Century Gothic" w:hAnsi="Century Gothic" w:cs="Calibri"/>
                <w:b/>
                <w:bCs/>
              </w:rPr>
              <w:t xml:space="preserve"> = +0.34V</w:t>
            </w:r>
          </w:p>
        </w:tc>
      </w:tr>
      <w:tr w:rsidR="00A742EC" w:rsidRPr="00500D36" w14:paraId="2486F5E8" w14:textId="77777777" w:rsidTr="004D6776">
        <w:tc>
          <w:tcPr>
            <w:tcW w:w="5954" w:type="dxa"/>
          </w:tcPr>
          <w:p w14:paraId="12B06BE2" w14:textId="77777777" w:rsidR="00A742EC" w:rsidRPr="00C87BF4" w:rsidRDefault="00A742EC" w:rsidP="004D6776">
            <w:pPr>
              <w:jc w:val="center"/>
              <w:rPr>
                <w:rFonts w:ascii="Century Gothic" w:hAnsi="Century Gothic"/>
              </w:rPr>
            </w:pPr>
            <w:r w:rsidRPr="00C87BF4">
              <w:rPr>
                <w:rFonts w:ascii="Century Gothic" w:hAnsi="Century Gothic" w:cs="Calibri"/>
                <w:color w:val="7F7F7F" w:themeColor="text1" w:themeTint="80"/>
              </w:rPr>
              <w:t>2H</w:t>
            </w:r>
            <w:r w:rsidRPr="00C87BF4">
              <w:rPr>
                <w:rFonts w:ascii="Century Gothic" w:hAnsi="Century Gothic" w:cs="Calibri"/>
                <w:color w:val="7F7F7F" w:themeColor="text1" w:themeTint="80"/>
                <w:vertAlign w:val="superscript"/>
              </w:rPr>
              <w:t>+</w:t>
            </w:r>
            <w:r w:rsidRPr="00C87BF4">
              <w:rPr>
                <w:rFonts w:ascii="Century Gothic" w:hAnsi="Century Gothic" w:cs="Calibri"/>
                <w:color w:val="7F7F7F" w:themeColor="text1" w:themeTint="80"/>
              </w:rPr>
              <w:t>(aq.) + 2e</w:t>
            </w:r>
            <w:r w:rsidRPr="00C87BF4">
              <w:rPr>
                <w:rFonts w:ascii="Century Gothic" w:hAnsi="Century Gothic" w:cs="Calibri"/>
                <w:color w:val="7F7F7F" w:themeColor="text1" w:themeTint="80"/>
                <w:vertAlign w:val="superscript"/>
              </w:rPr>
              <w:t>–</w:t>
            </w:r>
            <w:r w:rsidRPr="00C87BF4">
              <w:rPr>
                <w:rFonts w:ascii="Century Gothic" w:hAnsi="Century Gothic" w:cs="Calibri"/>
                <w:color w:val="7F7F7F" w:themeColor="text1" w:themeTint="80"/>
              </w:rPr>
              <w:t xml:space="preserve"> </w:t>
            </w:r>
            <w:r w:rsidRPr="00C87BF4">
              <w:rPr>
                <w:rFonts w:ascii="Cambria Math" w:hAnsi="Cambria Math" w:cs="Cambria Math"/>
                <w:color w:val="7F7F7F" w:themeColor="text1" w:themeTint="80"/>
              </w:rPr>
              <w:t>⇌</w:t>
            </w:r>
            <w:r w:rsidRPr="00C87BF4">
              <w:rPr>
                <w:rFonts w:ascii="Century Gothic" w:hAnsi="Century Gothic" w:cs="Calibri"/>
                <w:color w:val="7F7F7F" w:themeColor="text1" w:themeTint="80"/>
              </w:rPr>
              <w:t xml:space="preserve"> H</w:t>
            </w:r>
            <w:r w:rsidRPr="00C87BF4">
              <w:rPr>
                <w:rFonts w:ascii="Century Gothic" w:hAnsi="Century Gothic" w:cs="Calibri"/>
                <w:color w:val="7F7F7F" w:themeColor="text1" w:themeTint="80"/>
                <w:vertAlign w:val="subscript"/>
              </w:rPr>
              <w:t>2</w:t>
            </w:r>
            <w:r w:rsidRPr="00C87BF4">
              <w:rPr>
                <w:rFonts w:ascii="Century Gothic" w:hAnsi="Century Gothic" w:cs="Calibri"/>
                <w:color w:val="7F7F7F" w:themeColor="text1" w:themeTint="80"/>
              </w:rPr>
              <w:t>(g)</w:t>
            </w:r>
          </w:p>
        </w:tc>
        <w:tc>
          <w:tcPr>
            <w:tcW w:w="2494" w:type="dxa"/>
          </w:tcPr>
          <w:p w14:paraId="15276CD5" w14:textId="77777777" w:rsidR="00A742EC" w:rsidRPr="00C87BF4" w:rsidRDefault="00A742EC" w:rsidP="004D6776">
            <w:pPr>
              <w:jc w:val="center"/>
              <w:rPr>
                <w:rFonts w:ascii="Century Gothic" w:hAnsi="Century Gothic"/>
              </w:rPr>
            </w:pPr>
            <w:proofErr w:type="spellStart"/>
            <w:r w:rsidRPr="00C87BF4">
              <w:rPr>
                <w:rFonts w:ascii="Century Gothic" w:hAnsi="Century Gothic" w:cs="Calibri"/>
                <w:color w:val="7F7F7F" w:themeColor="text1" w:themeTint="80"/>
              </w:rPr>
              <w:t>E</w:t>
            </w:r>
            <w:r w:rsidRPr="00C87BF4">
              <w:rPr>
                <w:color w:val="808080" w:themeColor="background1" w:themeShade="80"/>
                <w:sz w:val="25"/>
                <w:szCs w:val="25"/>
              </w:rPr>
              <w:t>ʅ</w:t>
            </w:r>
            <w:proofErr w:type="spellEnd"/>
            <w:r w:rsidRPr="00C87BF4">
              <w:rPr>
                <w:rFonts w:ascii="Century Gothic" w:hAnsi="Century Gothic" w:cs="Calibri"/>
                <w:color w:val="7F7F7F" w:themeColor="text1" w:themeTint="80"/>
              </w:rPr>
              <w:t xml:space="preserve"> = 0.00V</w:t>
            </w:r>
          </w:p>
        </w:tc>
      </w:tr>
      <w:tr w:rsidR="00A742EC" w:rsidRPr="00500D36" w14:paraId="34E8B314" w14:textId="77777777" w:rsidTr="004D6776">
        <w:tc>
          <w:tcPr>
            <w:tcW w:w="5954" w:type="dxa"/>
          </w:tcPr>
          <w:p w14:paraId="6894868B" w14:textId="77777777" w:rsidR="00A742EC" w:rsidRPr="00C87BF4" w:rsidRDefault="00A742EC" w:rsidP="004D6776">
            <w:pPr>
              <w:jc w:val="center"/>
              <w:rPr>
                <w:rFonts w:ascii="Century Gothic" w:hAnsi="Century Gothic"/>
                <w:b/>
                <w:bCs/>
              </w:rPr>
            </w:pPr>
            <w:r w:rsidRPr="00C87BF4">
              <w:rPr>
                <w:rFonts w:ascii="Century Gothic" w:hAnsi="Century Gothic" w:cs="Calibri"/>
                <w:b/>
                <w:bCs/>
                <w:color w:val="538135" w:themeColor="accent6" w:themeShade="BF"/>
              </w:rPr>
              <w:t>V</w:t>
            </w:r>
            <w:r w:rsidRPr="00C87BF4">
              <w:rPr>
                <w:rFonts w:ascii="Century Gothic" w:hAnsi="Century Gothic" w:cs="Calibri"/>
                <w:b/>
                <w:bCs/>
                <w:color w:val="538135" w:themeColor="accent6" w:themeShade="BF"/>
                <w:vertAlign w:val="superscript"/>
              </w:rPr>
              <w:t>3+</w:t>
            </w:r>
            <w:r w:rsidRPr="00C87BF4">
              <w:rPr>
                <w:rFonts w:ascii="Century Gothic" w:hAnsi="Century Gothic" w:cs="Calibri"/>
                <w:b/>
                <w:bCs/>
              </w:rPr>
              <w:t xml:space="preserve"> (aq.) + e</w:t>
            </w:r>
            <w:r w:rsidRPr="00C87BF4">
              <w:rPr>
                <w:rFonts w:ascii="Century Gothic" w:hAnsi="Century Gothic" w:cs="Calibri"/>
                <w:b/>
                <w:bCs/>
                <w:vertAlign w:val="superscript"/>
              </w:rPr>
              <w:t>–</w:t>
            </w:r>
            <w:r w:rsidRPr="00C87BF4">
              <w:rPr>
                <w:rFonts w:ascii="Century Gothic" w:hAnsi="Century Gothic" w:cs="Calibri"/>
                <w:b/>
                <w:bCs/>
              </w:rPr>
              <w:t xml:space="preserve"> </w:t>
            </w:r>
            <w:r w:rsidRPr="00C87BF4">
              <w:rPr>
                <w:rFonts w:ascii="Cambria Math" w:hAnsi="Cambria Math" w:cs="Cambria Math"/>
                <w:b/>
                <w:bCs/>
              </w:rPr>
              <w:t>⇌</w:t>
            </w:r>
            <w:r w:rsidRPr="00C87BF4">
              <w:rPr>
                <w:rFonts w:ascii="Century Gothic" w:hAnsi="Century Gothic" w:cs="Calibri"/>
                <w:b/>
                <w:bCs/>
              </w:rPr>
              <w:t xml:space="preserve"> </w:t>
            </w:r>
            <w:r w:rsidRPr="00C87BF4">
              <w:rPr>
                <w:rFonts w:ascii="Century Gothic" w:hAnsi="Century Gothic" w:cs="Calibri"/>
                <w:b/>
                <w:bCs/>
                <w:color w:val="7030A0"/>
              </w:rPr>
              <w:t>V</w:t>
            </w:r>
            <w:r w:rsidRPr="00C87BF4">
              <w:rPr>
                <w:rFonts w:ascii="Century Gothic" w:hAnsi="Century Gothic" w:cs="Calibri"/>
                <w:b/>
                <w:bCs/>
                <w:color w:val="7030A0"/>
                <w:vertAlign w:val="superscript"/>
              </w:rPr>
              <w:t>2+</w:t>
            </w:r>
            <w:r w:rsidRPr="00C87BF4">
              <w:rPr>
                <w:rFonts w:ascii="Century Gothic" w:hAnsi="Century Gothic" w:cs="Calibri"/>
                <w:b/>
                <w:bCs/>
              </w:rPr>
              <w:t>(aq.)</w:t>
            </w:r>
          </w:p>
        </w:tc>
        <w:tc>
          <w:tcPr>
            <w:tcW w:w="2494" w:type="dxa"/>
          </w:tcPr>
          <w:p w14:paraId="24FA645B" w14:textId="77777777" w:rsidR="00A742EC" w:rsidRPr="00C87BF4" w:rsidRDefault="00A742EC" w:rsidP="004D6776">
            <w:pPr>
              <w:jc w:val="center"/>
              <w:rPr>
                <w:rFonts w:ascii="Century Gothic" w:hAnsi="Century Gothic"/>
                <w:b/>
                <w:bCs/>
              </w:rPr>
            </w:pPr>
            <w:proofErr w:type="spellStart"/>
            <w:r w:rsidRPr="00C87BF4">
              <w:rPr>
                <w:rFonts w:ascii="Century Gothic" w:hAnsi="Century Gothic" w:cs="Calibri"/>
                <w:b/>
                <w:bCs/>
              </w:rPr>
              <w:t>E</w:t>
            </w:r>
            <w:r w:rsidRPr="00C87BF4">
              <w:rPr>
                <w:sz w:val="25"/>
                <w:szCs w:val="25"/>
              </w:rPr>
              <w:t>ʅ</w:t>
            </w:r>
            <w:proofErr w:type="spellEnd"/>
            <w:r w:rsidRPr="00C87BF4">
              <w:rPr>
                <w:rFonts w:ascii="Century Gothic" w:hAnsi="Century Gothic" w:cs="Calibri"/>
                <w:b/>
                <w:bCs/>
              </w:rPr>
              <w:t xml:space="preserve"> = –0.26V</w:t>
            </w:r>
          </w:p>
        </w:tc>
      </w:tr>
      <w:tr w:rsidR="00A742EC" w:rsidRPr="00500D36" w14:paraId="16DA4F65" w14:textId="77777777" w:rsidTr="004D6776">
        <w:tc>
          <w:tcPr>
            <w:tcW w:w="5954" w:type="dxa"/>
          </w:tcPr>
          <w:p w14:paraId="5E2ACCB2" w14:textId="77777777" w:rsidR="00A742EC" w:rsidRPr="00C87BF4" w:rsidRDefault="00A742EC" w:rsidP="004D6776">
            <w:pPr>
              <w:jc w:val="center"/>
              <w:rPr>
                <w:rFonts w:ascii="Century Gothic" w:hAnsi="Century Gothic"/>
              </w:rPr>
            </w:pPr>
            <w:bookmarkStart w:id="1" w:name="OLE_LINK1"/>
            <w:r w:rsidRPr="00C87BF4">
              <w:rPr>
                <w:rFonts w:ascii="Century Gothic" w:hAnsi="Century Gothic" w:cs="Calibri"/>
                <w:color w:val="7F7F7F" w:themeColor="text1" w:themeTint="80"/>
              </w:rPr>
              <w:t>Zn</w:t>
            </w:r>
            <w:r w:rsidRPr="00C87BF4">
              <w:rPr>
                <w:rFonts w:ascii="Century Gothic" w:hAnsi="Century Gothic" w:cs="Calibri"/>
                <w:color w:val="7F7F7F" w:themeColor="text1" w:themeTint="80"/>
                <w:vertAlign w:val="superscript"/>
              </w:rPr>
              <w:t>2+</w:t>
            </w:r>
            <w:r w:rsidRPr="00C87BF4">
              <w:rPr>
                <w:rFonts w:ascii="Century Gothic" w:hAnsi="Century Gothic" w:cs="Calibri"/>
                <w:color w:val="7F7F7F" w:themeColor="text1" w:themeTint="80"/>
              </w:rPr>
              <w:t>(aq.) + 2e</w:t>
            </w:r>
            <w:r w:rsidRPr="00C87BF4">
              <w:rPr>
                <w:rFonts w:ascii="Century Gothic" w:hAnsi="Century Gothic" w:cs="Calibri"/>
                <w:color w:val="7F7F7F" w:themeColor="text1" w:themeTint="80"/>
                <w:vertAlign w:val="superscript"/>
              </w:rPr>
              <w:t>–</w:t>
            </w:r>
            <w:r w:rsidRPr="00C87BF4">
              <w:rPr>
                <w:rFonts w:ascii="Century Gothic" w:hAnsi="Century Gothic" w:cs="Calibri"/>
                <w:color w:val="7F7F7F" w:themeColor="text1" w:themeTint="80"/>
              </w:rPr>
              <w:t xml:space="preserve"> </w:t>
            </w:r>
            <w:r w:rsidRPr="00C87BF4">
              <w:rPr>
                <w:rFonts w:ascii="Cambria Math" w:hAnsi="Cambria Math" w:cs="Cambria Math"/>
                <w:color w:val="7F7F7F" w:themeColor="text1" w:themeTint="80"/>
              </w:rPr>
              <w:t>⇌</w:t>
            </w:r>
            <w:r w:rsidRPr="00C87BF4">
              <w:rPr>
                <w:rFonts w:ascii="Century Gothic" w:hAnsi="Century Gothic" w:cs="Calibri"/>
                <w:color w:val="7F7F7F" w:themeColor="text1" w:themeTint="80"/>
              </w:rPr>
              <w:t xml:space="preserve"> Zn(s)</w:t>
            </w:r>
            <w:bookmarkEnd w:id="1"/>
          </w:p>
        </w:tc>
        <w:tc>
          <w:tcPr>
            <w:tcW w:w="2494" w:type="dxa"/>
          </w:tcPr>
          <w:p w14:paraId="2AFBBEFA" w14:textId="77777777" w:rsidR="00A742EC" w:rsidRPr="00C87BF4" w:rsidRDefault="00A742EC" w:rsidP="004D6776">
            <w:pPr>
              <w:jc w:val="center"/>
              <w:rPr>
                <w:rFonts w:ascii="Century Gothic" w:hAnsi="Century Gothic"/>
              </w:rPr>
            </w:pPr>
            <w:proofErr w:type="spellStart"/>
            <w:r w:rsidRPr="00C87BF4">
              <w:rPr>
                <w:rFonts w:ascii="Century Gothic" w:hAnsi="Century Gothic" w:cs="Calibri"/>
                <w:color w:val="7F7F7F" w:themeColor="text1" w:themeTint="80"/>
              </w:rPr>
              <w:t>E</w:t>
            </w:r>
            <w:r w:rsidRPr="00C87BF4">
              <w:rPr>
                <w:color w:val="808080" w:themeColor="background1" w:themeShade="80"/>
                <w:sz w:val="25"/>
                <w:szCs w:val="25"/>
              </w:rPr>
              <w:t>ʅ</w:t>
            </w:r>
            <w:proofErr w:type="spellEnd"/>
            <w:r w:rsidRPr="00C87BF4">
              <w:rPr>
                <w:rFonts w:ascii="Century Gothic" w:hAnsi="Century Gothic" w:cs="Calibri"/>
                <w:color w:val="7F7F7F" w:themeColor="text1" w:themeTint="80"/>
              </w:rPr>
              <w:t xml:space="preserve"> = –0.76V</w:t>
            </w:r>
          </w:p>
        </w:tc>
      </w:tr>
      <w:bookmarkEnd w:id="0"/>
    </w:tbl>
    <w:p w14:paraId="50248F9C" w14:textId="77777777" w:rsidR="00A742EC" w:rsidRPr="00500D36" w:rsidRDefault="00A742EC" w:rsidP="00A742EC"/>
    <w:p w14:paraId="1CD1676C" w14:textId="0C246829" w:rsidR="00A742EC" w:rsidRPr="00A742EC" w:rsidRDefault="00A742EC" w:rsidP="00A742EC">
      <w:pPr>
        <w:pStyle w:val="Caption"/>
        <w:rPr>
          <w:rFonts w:ascii="Century Gothic" w:hAnsi="Century Gothic"/>
          <w:lang w:val="en-GB"/>
        </w:rPr>
      </w:pPr>
      <w:bookmarkStart w:id="2" w:name="_Ref121778502"/>
      <w:r w:rsidRPr="00A742EC">
        <w:rPr>
          <w:rFonts w:ascii="Century Gothic" w:hAnsi="Century Gothic"/>
          <w:lang w:val="en-GB"/>
        </w:rPr>
        <w:t xml:space="preserve">Figure </w:t>
      </w:r>
      <w:r w:rsidRPr="00A742EC">
        <w:rPr>
          <w:rFonts w:ascii="Century Gothic" w:hAnsi="Century Gothic"/>
          <w:lang w:val="en-GB"/>
        </w:rPr>
        <w:fldChar w:fldCharType="begin"/>
      </w:r>
      <w:r w:rsidRPr="00A742EC">
        <w:rPr>
          <w:rFonts w:ascii="Century Gothic" w:hAnsi="Century Gothic"/>
          <w:lang w:val="en-GB"/>
        </w:rPr>
        <w:instrText xml:space="preserve"> SEQ Figure \* ARABIC </w:instrText>
      </w:r>
      <w:r w:rsidRPr="00A742EC">
        <w:rPr>
          <w:rFonts w:ascii="Century Gothic" w:hAnsi="Century Gothic"/>
          <w:lang w:val="en-GB"/>
        </w:rPr>
        <w:fldChar w:fldCharType="separate"/>
      </w:r>
      <w:r w:rsidR="00115FC9">
        <w:rPr>
          <w:rFonts w:ascii="Century Gothic" w:hAnsi="Century Gothic"/>
          <w:noProof/>
          <w:lang w:val="en-GB"/>
        </w:rPr>
        <w:t>2</w:t>
      </w:r>
      <w:r w:rsidRPr="00A742EC">
        <w:rPr>
          <w:rFonts w:ascii="Century Gothic" w:hAnsi="Century Gothic"/>
          <w:lang w:val="en-GB"/>
        </w:rPr>
        <w:fldChar w:fldCharType="end"/>
      </w:r>
      <w:bookmarkEnd w:id="2"/>
      <w:r w:rsidR="00115FC9">
        <w:rPr>
          <w:rFonts w:ascii="Century Gothic" w:hAnsi="Century Gothic"/>
          <w:lang w:val="en-GB"/>
        </w:rPr>
        <w:t>:</w:t>
      </w:r>
      <w:r w:rsidRPr="00A742EC">
        <w:rPr>
          <w:rFonts w:ascii="Century Gothic" w:hAnsi="Century Gothic"/>
          <w:lang w:val="en-GB"/>
        </w:rPr>
        <w:t xml:space="preserve"> </w:t>
      </w:r>
      <w:r w:rsidR="00115FC9">
        <w:rPr>
          <w:rFonts w:ascii="Century Gothic" w:hAnsi="Century Gothic"/>
          <w:lang w:val="en-GB"/>
        </w:rPr>
        <w:t>s</w:t>
      </w:r>
      <w:r w:rsidRPr="00A742EC">
        <w:rPr>
          <w:rFonts w:ascii="Century Gothic" w:hAnsi="Century Gothic"/>
          <w:lang w:val="en-GB"/>
        </w:rPr>
        <w:t>tandard electrode potentials for the relevant reactions (with inspiration from Peter Borrows’ copy of the Nuffield A-Level teacher’s guide)</w:t>
      </w:r>
    </w:p>
    <w:p w14:paraId="7FEBB03F" w14:textId="78389D88" w:rsidR="0046387A" w:rsidRDefault="0046387A" w:rsidP="00A80F57">
      <w:pPr>
        <w:pStyle w:val="RSCBulletedlist"/>
        <w:numPr>
          <w:ilvl w:val="0"/>
          <w:numId w:val="0"/>
        </w:numPr>
      </w:pPr>
      <w:r w:rsidRPr="0046387A">
        <w:t>Students can combine individual couples to form ionic equations (Equation 1).</w:t>
      </w:r>
    </w:p>
    <w:p w14:paraId="7857DD97" w14:textId="77777777" w:rsidR="00A742EC" w:rsidRPr="00C87BF4" w:rsidRDefault="00A742EC" w:rsidP="00A742EC">
      <w:pPr>
        <w:jc w:val="center"/>
        <w:rPr>
          <w:rFonts w:ascii="Century Gothic" w:hAnsi="Century Gothic" w:cs="Calibri"/>
        </w:rPr>
      </w:pPr>
      <w:r w:rsidRPr="00C87BF4">
        <w:rPr>
          <w:rFonts w:ascii="Century Gothic" w:hAnsi="Century Gothic" w:cs="Calibri"/>
        </w:rPr>
        <w:t xml:space="preserve">Zn (s) + </w:t>
      </w:r>
      <w:r w:rsidRPr="00C87BF4">
        <w:rPr>
          <w:rFonts w:ascii="Century Gothic" w:hAnsi="Century Gothic" w:cs="Calibri"/>
          <w:color w:val="FFC000"/>
        </w:rPr>
        <w:t>VO</w:t>
      </w:r>
      <w:r w:rsidRPr="00C87BF4">
        <w:rPr>
          <w:rFonts w:ascii="Century Gothic" w:hAnsi="Century Gothic" w:cs="Calibri"/>
          <w:color w:val="FFC000"/>
          <w:vertAlign w:val="subscript"/>
        </w:rPr>
        <w:t>2</w:t>
      </w:r>
      <w:r w:rsidRPr="00C87BF4">
        <w:rPr>
          <w:rFonts w:ascii="Century Gothic" w:hAnsi="Century Gothic" w:cs="Calibri"/>
          <w:color w:val="FFC000"/>
          <w:vertAlign w:val="superscript"/>
        </w:rPr>
        <w:t xml:space="preserve">+ </w:t>
      </w:r>
      <w:r w:rsidRPr="00C87BF4">
        <w:rPr>
          <w:rFonts w:ascii="Century Gothic" w:hAnsi="Century Gothic" w:cs="Calibri"/>
        </w:rPr>
        <w:t>(aq.) + 4H</w:t>
      </w:r>
      <w:r w:rsidRPr="00C87BF4">
        <w:rPr>
          <w:rFonts w:ascii="Century Gothic" w:hAnsi="Century Gothic" w:cs="Calibri"/>
          <w:vertAlign w:val="superscript"/>
        </w:rPr>
        <w:t xml:space="preserve">+ </w:t>
      </w:r>
      <w:r w:rsidRPr="00C87BF4">
        <w:rPr>
          <w:rFonts w:ascii="Century Gothic" w:hAnsi="Century Gothic" w:cs="Calibri"/>
        </w:rPr>
        <w:t>(aq.)</w:t>
      </w:r>
      <w:r w:rsidRPr="00C87BF4">
        <w:rPr>
          <w:rFonts w:ascii="Century Gothic" w:hAnsi="Century Gothic" w:cs="Calibri"/>
        </w:rPr>
        <w:sym w:font="Wingdings" w:char="F0E0"/>
      </w:r>
      <w:r w:rsidRPr="00C87BF4">
        <w:rPr>
          <w:rFonts w:ascii="Century Gothic" w:hAnsi="Century Gothic" w:cs="Calibri"/>
        </w:rPr>
        <w:t xml:space="preserve"> </w:t>
      </w:r>
      <w:r w:rsidRPr="00C87BF4">
        <w:rPr>
          <w:rFonts w:ascii="Century Gothic" w:hAnsi="Century Gothic" w:cs="Calibri"/>
          <w:b/>
          <w:bCs/>
          <w:color w:val="538135" w:themeColor="accent6" w:themeShade="BF"/>
        </w:rPr>
        <w:t>V</w:t>
      </w:r>
      <w:r w:rsidRPr="00C87BF4">
        <w:rPr>
          <w:rFonts w:ascii="Century Gothic" w:hAnsi="Century Gothic" w:cs="Calibri"/>
          <w:b/>
          <w:bCs/>
          <w:color w:val="538135" w:themeColor="accent6" w:themeShade="BF"/>
          <w:vertAlign w:val="superscript"/>
        </w:rPr>
        <w:t>3+</w:t>
      </w:r>
      <w:r w:rsidRPr="00C87BF4">
        <w:rPr>
          <w:rFonts w:ascii="Century Gothic" w:hAnsi="Century Gothic" w:cs="Calibri"/>
          <w:color w:val="7030A0"/>
          <w:vertAlign w:val="superscript"/>
        </w:rPr>
        <w:t xml:space="preserve"> </w:t>
      </w:r>
      <w:r w:rsidRPr="00C87BF4">
        <w:rPr>
          <w:rFonts w:ascii="Century Gothic" w:hAnsi="Century Gothic" w:cs="Calibri"/>
        </w:rPr>
        <w:t>(aq.) + Zn</w:t>
      </w:r>
      <w:r w:rsidRPr="00C87BF4">
        <w:rPr>
          <w:rFonts w:ascii="Century Gothic" w:hAnsi="Century Gothic" w:cs="Calibri"/>
          <w:vertAlign w:val="superscript"/>
        </w:rPr>
        <w:t>2+</w:t>
      </w:r>
      <w:r w:rsidRPr="00C87BF4">
        <w:rPr>
          <w:rFonts w:ascii="Century Gothic" w:hAnsi="Century Gothic" w:cs="Calibri"/>
        </w:rPr>
        <w:t>(aq.) + 2 H</w:t>
      </w:r>
      <w:r w:rsidRPr="00C87BF4">
        <w:rPr>
          <w:rFonts w:ascii="Century Gothic" w:hAnsi="Century Gothic" w:cs="Calibri"/>
          <w:vertAlign w:val="subscript"/>
        </w:rPr>
        <w:t>2</w:t>
      </w:r>
      <w:r w:rsidRPr="00C87BF4">
        <w:rPr>
          <w:rFonts w:ascii="Century Gothic" w:hAnsi="Century Gothic" w:cs="Calibri"/>
        </w:rPr>
        <w:t>O(l)</w:t>
      </w:r>
    </w:p>
    <w:p w14:paraId="2F005974" w14:textId="24E2C213" w:rsidR="00A742EC" w:rsidRPr="00C87BF4" w:rsidRDefault="00A742EC" w:rsidP="00A742EC">
      <w:pPr>
        <w:pStyle w:val="Caption"/>
        <w:jc w:val="center"/>
        <w:rPr>
          <w:rFonts w:ascii="Century Gothic" w:hAnsi="Century Gothic"/>
          <w:lang w:val="en-GB"/>
        </w:rPr>
      </w:pPr>
      <w:bookmarkStart w:id="3" w:name="_Ref121779292"/>
      <w:r w:rsidRPr="00C87BF4">
        <w:rPr>
          <w:rFonts w:ascii="Century Gothic" w:hAnsi="Century Gothic"/>
          <w:lang w:val="en-GB"/>
        </w:rPr>
        <w:t xml:space="preserve">Equation </w:t>
      </w:r>
      <w:r w:rsidRPr="00C87BF4">
        <w:rPr>
          <w:rFonts w:ascii="Century Gothic" w:hAnsi="Century Gothic"/>
          <w:lang w:val="en-GB"/>
        </w:rPr>
        <w:fldChar w:fldCharType="begin"/>
      </w:r>
      <w:r w:rsidRPr="00C87BF4">
        <w:rPr>
          <w:rFonts w:ascii="Century Gothic" w:hAnsi="Century Gothic"/>
          <w:lang w:val="en-GB"/>
        </w:rPr>
        <w:instrText xml:space="preserve"> SEQ Equation \* ARABIC </w:instrText>
      </w:r>
      <w:r w:rsidRPr="00C87BF4">
        <w:rPr>
          <w:rFonts w:ascii="Century Gothic" w:hAnsi="Century Gothic"/>
          <w:lang w:val="en-GB"/>
        </w:rPr>
        <w:fldChar w:fldCharType="separate"/>
      </w:r>
      <w:r w:rsidRPr="00C87BF4">
        <w:rPr>
          <w:rFonts w:ascii="Century Gothic" w:hAnsi="Century Gothic"/>
          <w:lang w:val="en-GB"/>
        </w:rPr>
        <w:t>1</w:t>
      </w:r>
      <w:r w:rsidRPr="00C87BF4">
        <w:rPr>
          <w:rFonts w:ascii="Century Gothic" w:hAnsi="Century Gothic"/>
          <w:lang w:val="en-GB"/>
        </w:rPr>
        <w:fldChar w:fldCharType="end"/>
      </w:r>
      <w:bookmarkEnd w:id="3"/>
    </w:p>
    <w:p w14:paraId="59C250B6" w14:textId="1EBACBC0" w:rsidR="0046387A" w:rsidRDefault="0046387A" w:rsidP="00A80F57">
      <w:pPr>
        <w:pStyle w:val="RSCBulletedlist"/>
        <w:numPr>
          <w:ilvl w:val="0"/>
          <w:numId w:val="0"/>
        </w:numPr>
      </w:pPr>
      <w:r w:rsidRPr="0046387A">
        <w:lastRenderedPageBreak/>
        <w:t>There are lots of possibilities of oxidants and reductants. A discussion of alternative strategies can be found in the video that accompanies this article.</w:t>
      </w:r>
    </w:p>
    <w:p w14:paraId="4156EED6" w14:textId="20D629A0" w:rsidR="0046387A" w:rsidRPr="00CC2E20" w:rsidRDefault="0046387A" w:rsidP="0046387A">
      <w:pPr>
        <w:pStyle w:val="RSCH2"/>
      </w:pPr>
      <w:r>
        <w:t>Top tips</w:t>
      </w:r>
    </w:p>
    <w:p w14:paraId="19F64A01" w14:textId="77777777" w:rsidR="00B62B6A" w:rsidRDefault="00B62B6A" w:rsidP="00B62B6A">
      <w:pPr>
        <w:pStyle w:val="RSCBulletedlist"/>
      </w:pPr>
      <w:r>
        <w:t>I work with a more dilute solution – 0.05 M vanadate(V) – rather than the classic 0.1 M because, on a larger scale, the V(III) colour can be too dark to see clearly at this concentration.</w:t>
      </w:r>
    </w:p>
    <w:p w14:paraId="1881DAA3" w14:textId="77777777" w:rsidR="00B62B6A" w:rsidRDefault="00B62B6A" w:rsidP="00B62B6A">
      <w:pPr>
        <w:pStyle w:val="RSCBulletedlist"/>
      </w:pPr>
      <w:r>
        <w:t xml:space="preserve">Reactions with granules range from almost non-existent (old school stock will have a surface coating delaying reaction – this can be refreshed by rinsing in 0.1 M copper </w:t>
      </w:r>
      <w:proofErr w:type="spellStart"/>
      <w:r>
        <w:t>sulfate</w:t>
      </w:r>
      <w:proofErr w:type="spellEnd"/>
      <w:r>
        <w:t xml:space="preserve"> solution) to ≈ 1 hour at room temperature.</w:t>
      </w:r>
    </w:p>
    <w:p w14:paraId="48AD63A0" w14:textId="77777777" w:rsidR="00B62B6A" w:rsidRDefault="00B62B6A" w:rsidP="00B62B6A">
      <w:pPr>
        <w:pStyle w:val="RSCBulletedlist"/>
      </w:pPr>
      <w:r>
        <w:t>Using a tea bag allows you to raise the zinc so that bubbles float up to leave a clear view through the main solution.</w:t>
      </w:r>
    </w:p>
    <w:p w14:paraId="2F68A62D" w14:textId="6A419DC4" w:rsidR="00C87BF4" w:rsidRDefault="00B62B6A" w:rsidP="00C87BF4">
      <w:pPr>
        <w:pStyle w:val="RSCBulletedlist"/>
      </w:pPr>
      <w:r>
        <w:t xml:space="preserve">Many methods suggest dissolving the ammonium vanadate(V) in 2M sodium hydroxide and then making up to a 0.1 M concentration using 1M </w:t>
      </w:r>
      <w:proofErr w:type="gramStart"/>
      <w:r>
        <w:t>sulfuric(</w:t>
      </w:r>
      <w:proofErr w:type="gramEnd"/>
      <w:r>
        <w:t xml:space="preserve">VI) acid. That mixture will form V(II) at room temperature in about an hour. You can reduce this time by increasing the temperature and/or switching from granules to powder. When heating the reaction, a brown colour may appear as the V(III) starts to reduce, so add extra acid to reveal the lilac colour – hence my suggestion to make up the solution directly in 2 M hydrochloric acid. It takes longer to dissolve the ammonium vanadate(V) with 2M HCl than with the 2 M NaOH route but, even with heating, plenty of acid remains to reveal the classic V(II) lilac colour. I suggest the acid swap because although </w:t>
      </w:r>
      <w:proofErr w:type="spellStart"/>
      <w:proofErr w:type="gramStart"/>
      <w:r>
        <w:t>sulfate</w:t>
      </w:r>
      <w:proofErr w:type="spellEnd"/>
      <w:r>
        <w:t>(</w:t>
      </w:r>
      <w:proofErr w:type="gramEnd"/>
      <w:r>
        <w:t>VI) ions will be reduced by zinc (Equation 2), chloride ions will not.</w:t>
      </w:r>
    </w:p>
    <w:p w14:paraId="724E5898" w14:textId="77777777" w:rsidR="00C87BF4" w:rsidRDefault="00C87BF4" w:rsidP="00C87BF4">
      <w:pPr>
        <w:pStyle w:val="RSCBulletedlist"/>
        <w:numPr>
          <w:ilvl w:val="0"/>
          <w:numId w:val="0"/>
        </w:numPr>
      </w:pPr>
    </w:p>
    <w:p w14:paraId="71278981" w14:textId="66F295DF" w:rsidR="00C87BF4" w:rsidRPr="00C87BF4" w:rsidRDefault="00C87BF4" w:rsidP="00C87BF4">
      <w:pPr>
        <w:jc w:val="center"/>
        <w:rPr>
          <w:rFonts w:ascii="Century Gothic" w:hAnsi="Century Gothic" w:cs="Calibri"/>
        </w:rPr>
      </w:pPr>
      <w:r w:rsidRPr="00C87BF4">
        <w:rPr>
          <w:rFonts w:ascii="Century Gothic" w:hAnsi="Century Gothic" w:cs="Calibri"/>
        </w:rPr>
        <w:t>SO</w:t>
      </w:r>
      <w:r w:rsidRPr="00C87BF4">
        <w:rPr>
          <w:rFonts w:ascii="Century Gothic" w:hAnsi="Century Gothic" w:cs="Calibri"/>
          <w:vertAlign w:val="subscript"/>
        </w:rPr>
        <w:t>4</w:t>
      </w:r>
      <w:r w:rsidRPr="00C87BF4">
        <w:rPr>
          <w:rFonts w:ascii="Century Gothic" w:hAnsi="Century Gothic" w:cs="Calibri"/>
          <w:vertAlign w:val="superscript"/>
        </w:rPr>
        <w:t>2–</w:t>
      </w:r>
      <w:r w:rsidRPr="00C87BF4">
        <w:rPr>
          <w:rFonts w:ascii="Century Gothic" w:hAnsi="Century Gothic" w:cs="Calibri"/>
        </w:rPr>
        <w:t>(aq.) + 4</w:t>
      </w:r>
      <w:r w:rsidRPr="00C87BF4">
        <w:t> </w:t>
      </w:r>
      <w:r w:rsidRPr="00C87BF4">
        <w:rPr>
          <w:rFonts w:ascii="Century Gothic" w:hAnsi="Century Gothic" w:cs="Calibri"/>
        </w:rPr>
        <w:t>H</w:t>
      </w:r>
      <w:r w:rsidRPr="00C87BF4">
        <w:rPr>
          <w:rFonts w:ascii="Century Gothic" w:hAnsi="Century Gothic" w:cs="Calibri"/>
          <w:vertAlign w:val="superscript"/>
        </w:rPr>
        <w:t>+</w:t>
      </w:r>
      <w:r w:rsidRPr="00C87BF4">
        <w:rPr>
          <w:rFonts w:ascii="Century Gothic" w:hAnsi="Century Gothic" w:cs="Calibri"/>
        </w:rPr>
        <w:t xml:space="preserve"> + 2 e</w:t>
      </w:r>
      <w:r w:rsidRPr="00C87BF4">
        <w:rPr>
          <w:rFonts w:ascii="Century Gothic" w:hAnsi="Century Gothic" w:cs="Calibri"/>
          <w:vertAlign w:val="superscript"/>
        </w:rPr>
        <w:t>−</w:t>
      </w:r>
      <w:r w:rsidRPr="00C87BF4">
        <w:rPr>
          <w:rFonts w:ascii="Century Gothic" w:hAnsi="Century Gothic" w:cs="Calibri"/>
        </w:rPr>
        <w:t xml:space="preserve"> </w:t>
      </w:r>
      <w:r w:rsidRPr="00C87BF4">
        <w:rPr>
          <w:rFonts w:ascii="Cambria Math" w:hAnsi="Cambria Math" w:cs="Cambria Math"/>
        </w:rPr>
        <w:t>⇌</w:t>
      </w:r>
      <w:r w:rsidRPr="00C87BF4">
        <w:rPr>
          <w:rFonts w:ascii="Century Gothic" w:hAnsi="Century Gothic" w:cs="Calibri"/>
        </w:rPr>
        <w:t xml:space="preserve"> SO</w:t>
      </w:r>
      <w:r w:rsidRPr="00C87BF4">
        <w:rPr>
          <w:rFonts w:ascii="Century Gothic" w:hAnsi="Century Gothic" w:cs="Calibri"/>
          <w:vertAlign w:val="subscript"/>
        </w:rPr>
        <w:t>2</w:t>
      </w:r>
      <w:r w:rsidRPr="00C87BF4">
        <w:rPr>
          <w:rFonts w:ascii="Century Gothic" w:hAnsi="Century Gothic" w:cs="Calibri"/>
        </w:rPr>
        <w:t>(aq.) + 2H</w:t>
      </w:r>
      <w:r w:rsidRPr="00C87BF4">
        <w:rPr>
          <w:rFonts w:ascii="Century Gothic" w:hAnsi="Century Gothic" w:cs="Calibri"/>
          <w:vertAlign w:val="subscript"/>
        </w:rPr>
        <w:t>2</w:t>
      </w:r>
      <w:r w:rsidRPr="00C87BF4">
        <w:rPr>
          <w:rFonts w:ascii="Century Gothic" w:hAnsi="Century Gothic" w:cs="Calibri"/>
        </w:rPr>
        <w:t xml:space="preserve">O </w:t>
      </w:r>
      <w:r w:rsidRPr="00C87BF4">
        <w:rPr>
          <w:rFonts w:ascii="Century Gothic" w:hAnsi="Century Gothic" w:cs="Calibri"/>
        </w:rPr>
        <w:tab/>
      </w:r>
      <w:proofErr w:type="spellStart"/>
      <w:r w:rsidRPr="00C87BF4">
        <w:rPr>
          <w:rFonts w:ascii="Century Gothic" w:hAnsi="Century Gothic" w:cs="Calibri"/>
        </w:rPr>
        <w:t>E</w:t>
      </w:r>
      <w:r w:rsidRPr="00C87BF4">
        <w:rPr>
          <w:sz w:val="25"/>
          <w:szCs w:val="25"/>
        </w:rPr>
        <w:t>ʅ</w:t>
      </w:r>
      <w:proofErr w:type="spellEnd"/>
      <w:r w:rsidRPr="00C87BF4">
        <w:rPr>
          <w:rFonts w:ascii="Century Gothic" w:hAnsi="Century Gothic"/>
          <w:sz w:val="25"/>
          <w:szCs w:val="25"/>
        </w:rPr>
        <w:t xml:space="preserve"> = +</w:t>
      </w:r>
      <w:r w:rsidRPr="00C87BF4">
        <w:rPr>
          <w:rFonts w:ascii="Century Gothic" w:hAnsi="Century Gothic" w:cs="Calibri"/>
        </w:rPr>
        <w:t>0.17 V</w:t>
      </w:r>
    </w:p>
    <w:p w14:paraId="38629AA4" w14:textId="2393ADCC" w:rsidR="00C87BF4" w:rsidRPr="00C87BF4" w:rsidRDefault="00C87BF4" w:rsidP="00C87BF4">
      <w:pPr>
        <w:pStyle w:val="Caption"/>
        <w:jc w:val="center"/>
        <w:rPr>
          <w:rFonts w:ascii="Century Gothic" w:hAnsi="Century Gothic"/>
          <w:lang w:val="en-GB"/>
        </w:rPr>
      </w:pPr>
      <w:r w:rsidRPr="00C87BF4">
        <w:rPr>
          <w:rFonts w:ascii="Century Gothic" w:hAnsi="Century Gothic"/>
          <w:lang w:val="en-GB"/>
        </w:rPr>
        <w:t>Equation 2</w:t>
      </w:r>
    </w:p>
    <w:p w14:paraId="34A5A982" w14:textId="77777777" w:rsidR="00C87BF4" w:rsidRPr="00B812B1" w:rsidRDefault="00C87BF4" w:rsidP="00C87BF4">
      <w:pPr>
        <w:pStyle w:val="RSCBulletedlist"/>
        <w:numPr>
          <w:ilvl w:val="0"/>
          <w:numId w:val="0"/>
        </w:numPr>
        <w:ind w:left="363" w:hanging="363"/>
      </w:pPr>
    </w:p>
    <w:sectPr w:rsidR="00C87BF4" w:rsidRPr="00B812B1" w:rsidSect="00231C1C">
      <w:headerReference w:type="default" r:id="rId11"/>
      <w:footerReference w:type="default" r:id="rId12"/>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276F0" w14:textId="77777777" w:rsidR="007A08F5" w:rsidRDefault="007A08F5" w:rsidP="008A1B0B">
      <w:pPr>
        <w:spacing w:after="0" w:line="240" w:lineRule="auto"/>
      </w:pPr>
      <w:r>
        <w:separator/>
      </w:r>
    </w:p>
  </w:endnote>
  <w:endnote w:type="continuationSeparator" w:id="0">
    <w:p w14:paraId="7981FF4B" w14:textId="77777777" w:rsidR="007A08F5" w:rsidRDefault="007A08F5" w:rsidP="008A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84472457"/>
      <w:docPartObj>
        <w:docPartGallery w:val="Page Numbers (Bottom of Page)"/>
        <w:docPartUnique/>
      </w:docPartObj>
    </w:sdtPr>
    <w:sdtEndPr>
      <w:rPr>
        <w:rStyle w:val="PageNumber"/>
      </w:rPr>
    </w:sdtEndPr>
    <w:sdtContent>
      <w:p w14:paraId="22BFB8F8" w14:textId="77777777"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13A1D64A" w14:textId="48962BE2" w:rsidR="00231C1C" w:rsidRPr="00B226A7" w:rsidRDefault="00B226A7" w:rsidP="002F2A90">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CF775D">
      <w:rPr>
        <w:rFonts w:ascii="Century Gothic" w:hAnsi="Century Gothic"/>
        <w:sz w:val="16"/>
        <w:szCs w:val="16"/>
      </w:rPr>
      <w:t>2</w:t>
    </w:r>
    <w:r>
      <w:rPr>
        <w:rFonts w:ascii="Century Gothic" w:hAnsi="Century Gothic"/>
        <w:sz w:val="16"/>
        <w:szCs w:val="16"/>
      </w:rPr>
      <w:t xml:space="preserve"> </w:t>
    </w:r>
    <w:r w:rsidRPr="001C6249">
      <w:rPr>
        <w:rFonts w:ascii="Century Gothic" w:hAnsi="Century Gothic"/>
        <w:sz w:val="16"/>
        <w:szCs w:val="16"/>
      </w:rPr>
      <w:t>Royal Society of Chemistr</w:t>
    </w:r>
    <w:r w:rsidR="00362CD9">
      <w:rPr>
        <w:rFonts w:ascii="Century Gothic" w:hAnsi="Century Gothic"/>
        <w:sz w:val="16"/>
        <w:szCs w:val="16"/>
      </w:rPr>
      <w: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933B9" w14:textId="77777777" w:rsidR="007A08F5" w:rsidRDefault="007A08F5" w:rsidP="008A1B0B">
      <w:pPr>
        <w:spacing w:after="0" w:line="240" w:lineRule="auto"/>
      </w:pPr>
      <w:r>
        <w:separator/>
      </w:r>
    </w:p>
  </w:footnote>
  <w:footnote w:type="continuationSeparator" w:id="0">
    <w:p w14:paraId="2FCC546E" w14:textId="77777777" w:rsidR="007A08F5" w:rsidRDefault="007A08F5" w:rsidP="008A1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B0CAA" w14:textId="7690D8B9" w:rsidR="008A1B0B" w:rsidRDefault="00077CE2" w:rsidP="008D7A53">
    <w:pPr>
      <w:spacing w:after="60"/>
      <w:ind w:right="-850"/>
      <w:jc w:val="right"/>
      <w:rPr>
        <w:rFonts w:ascii="Century Gothic" w:hAnsi="Century Gothic"/>
        <w:b/>
        <w:bCs/>
        <w:color w:val="000000" w:themeColor="text1"/>
        <w:sz w:val="24"/>
        <w:szCs w:val="24"/>
      </w:rPr>
    </w:pPr>
    <w:r>
      <w:rPr>
        <w:rFonts w:ascii="Century Gothic" w:hAnsi="Century Gothic"/>
        <w:b/>
        <w:bCs/>
        <w:noProof/>
        <w:color w:val="004976"/>
        <w:sz w:val="30"/>
        <w:szCs w:val="30"/>
      </w:rPr>
      <w:drawing>
        <wp:anchor distT="0" distB="0" distL="114300" distR="114300" simplePos="0" relativeHeight="251658751" behindDoc="0" locked="0" layoutInCell="1" allowOverlap="1" wp14:anchorId="3B9B61EF" wp14:editId="20F1EF97">
          <wp:simplePos x="0" y="0"/>
          <wp:positionH relativeFrom="column">
            <wp:posOffset>-539750</wp:posOffset>
          </wp:positionH>
          <wp:positionV relativeFrom="paragraph">
            <wp:posOffset>31115</wp:posOffset>
          </wp:positionV>
          <wp:extent cx="2161036" cy="362713"/>
          <wp:effectExtent l="0" t="0" r="0" b="0"/>
          <wp:wrapNone/>
          <wp:docPr id="1" name="Picture 1" descr="A blue sign with whit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ign with white 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161036" cy="362713"/>
                  </a:xfrm>
                  <a:prstGeom prst="rect">
                    <a:avLst/>
                  </a:prstGeom>
                </pic:spPr>
              </pic:pic>
            </a:graphicData>
          </a:graphic>
        </wp:anchor>
      </w:drawing>
    </w:r>
    <w:r w:rsidR="00FF76A3">
      <w:rPr>
        <w:rFonts w:ascii="Century Gothic" w:hAnsi="Century Gothic"/>
        <w:b/>
        <w:bCs/>
        <w:noProof/>
        <w:color w:val="004976"/>
        <w:sz w:val="30"/>
        <w:szCs w:val="30"/>
      </w:rPr>
      <w:drawing>
        <wp:anchor distT="0" distB="0" distL="114300" distR="114300" simplePos="0" relativeHeight="251658240" behindDoc="1" locked="0" layoutInCell="1" allowOverlap="1" wp14:anchorId="119FB73F" wp14:editId="04191F2C">
          <wp:simplePos x="0" y="0"/>
          <wp:positionH relativeFrom="column">
            <wp:posOffset>-927101</wp:posOffset>
          </wp:positionH>
          <wp:positionV relativeFrom="paragraph">
            <wp:posOffset>-267335</wp:posOffset>
          </wp:positionV>
          <wp:extent cx="7569919" cy="107124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flipH="1">
                    <a:off x="0" y="0"/>
                    <a:ext cx="7580222" cy="10727030"/>
                  </a:xfrm>
                  <a:prstGeom prst="rect">
                    <a:avLst/>
                  </a:prstGeom>
                </pic:spPr>
              </pic:pic>
            </a:graphicData>
          </a:graphic>
          <wp14:sizeRelH relativeFrom="page">
            <wp14:pctWidth>0</wp14:pctWidth>
          </wp14:sizeRelH>
          <wp14:sizeRelV relativeFrom="page">
            <wp14:pctHeight>0</wp14:pctHeight>
          </wp14:sizeRelV>
        </wp:anchor>
      </w:drawing>
    </w:r>
    <w:r w:rsidR="00212245">
      <w:rPr>
        <w:rFonts w:ascii="Century Gothic" w:hAnsi="Century Gothic"/>
        <w:b/>
        <w:bCs/>
        <w:color w:val="004976"/>
        <w:sz w:val="30"/>
        <w:szCs w:val="30"/>
      </w:rPr>
      <w:t>Exhibition Chemistry</w:t>
    </w:r>
    <w:r w:rsidR="00557BF2">
      <w:rPr>
        <w:rFonts w:ascii="Century Gothic" w:hAnsi="Century Gothic"/>
        <w:b/>
        <w:bCs/>
        <w:color w:val="004976"/>
        <w:sz w:val="24"/>
        <w:szCs w:val="24"/>
      </w:rPr>
      <w:t xml:space="preserve"> </w:t>
    </w:r>
    <w:r w:rsidR="00B226A7">
      <w:rPr>
        <w:rFonts w:ascii="Century Gothic" w:hAnsi="Century Gothic"/>
        <w:b/>
        <w:bCs/>
        <w:color w:val="000000" w:themeColor="text1"/>
        <w:sz w:val="24"/>
        <w:szCs w:val="24"/>
      </w:rPr>
      <w:t>1</w:t>
    </w:r>
    <w:r w:rsidR="00146FCD">
      <w:rPr>
        <w:rFonts w:ascii="Century Gothic" w:hAnsi="Century Gothic"/>
        <w:b/>
        <w:bCs/>
        <w:color w:val="000000" w:themeColor="text1"/>
        <w:sz w:val="24"/>
        <w:szCs w:val="24"/>
      </w:rPr>
      <w:t>6</w:t>
    </w:r>
    <w:r w:rsidR="00B226A7">
      <w:rPr>
        <w:rFonts w:ascii="Century Gothic" w:hAnsi="Century Gothic"/>
        <w:b/>
        <w:bCs/>
        <w:color w:val="000000" w:themeColor="text1"/>
        <w:sz w:val="24"/>
        <w:szCs w:val="24"/>
      </w:rPr>
      <w:t>–1</w:t>
    </w:r>
    <w:r w:rsidR="00BA3729">
      <w:rPr>
        <w:rFonts w:ascii="Century Gothic" w:hAnsi="Century Gothic"/>
        <w:b/>
        <w:bCs/>
        <w:color w:val="000000" w:themeColor="text1"/>
        <w:sz w:val="24"/>
        <w:szCs w:val="24"/>
      </w:rPr>
      <w:t>8</w:t>
    </w:r>
    <w:r w:rsidR="00146FCD">
      <w:rPr>
        <w:rFonts w:ascii="Century Gothic" w:hAnsi="Century Gothic"/>
        <w:b/>
        <w:bCs/>
        <w:color w:val="000000" w:themeColor="text1"/>
        <w:sz w:val="24"/>
        <w:szCs w:val="24"/>
      </w:rPr>
      <w:t xml:space="preserve"> years</w:t>
    </w:r>
  </w:p>
  <w:p w14:paraId="014B122C" w14:textId="32FB09EB" w:rsidR="00557BF2" w:rsidRPr="00557BF2" w:rsidRDefault="00552B33" w:rsidP="00552B33">
    <w:pPr>
      <w:pStyle w:val="RSCURL"/>
      <w:jc w:val="right"/>
    </w:pPr>
    <w:r>
      <w:rPr>
        <w:color w:val="000000" w:themeColor="text1"/>
      </w:rPr>
      <w:t xml:space="preserve">Available </w:t>
    </w:r>
    <w:r w:rsidR="008B34F9">
      <w:rPr>
        <w:color w:val="000000" w:themeColor="text1"/>
      </w:rPr>
      <w:t>from</w:t>
    </w:r>
    <w:r w:rsidR="00557BF2" w:rsidRPr="00A56431">
      <w:rPr>
        <w:color w:val="000000" w:themeColor="text1"/>
      </w:rPr>
      <w:t xml:space="preserve"> </w:t>
    </w:r>
    <w:r w:rsidR="00557BF2" w:rsidRPr="00552B33">
      <w:t>rsc.li/</w:t>
    </w:r>
    <w:r w:rsidR="00B54656">
      <w:t>3XN1YF5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72F4"/>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D71290E"/>
    <w:multiLevelType w:val="hybridMultilevel"/>
    <w:tmpl w:val="BDB429A6"/>
    <w:lvl w:ilvl="0" w:tplc="8E40D1DC">
      <w:start w:val="1"/>
      <w:numFmt w:val="bullet"/>
      <w:pStyle w:val="RSCBulletedlist"/>
      <w:lvlText w:val=""/>
      <w:lvlJc w:val="left"/>
      <w:pPr>
        <w:ind w:left="363" w:hanging="363"/>
      </w:pPr>
      <w:rPr>
        <w:rFonts w:ascii="Symbol" w:hAnsi="Symbol" w:hint="default"/>
        <w:color w:val="004976"/>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347A72"/>
    <w:multiLevelType w:val="hybridMultilevel"/>
    <w:tmpl w:val="01881FC8"/>
    <w:lvl w:ilvl="0" w:tplc="B6AC983E">
      <w:start w:val="1"/>
      <w:numFmt w:val="decimal"/>
      <w:pStyle w:val="RSCnumberedlist"/>
      <w:lvlText w:val="%1."/>
      <w:lvlJc w:val="left"/>
      <w:pPr>
        <w:ind w:left="360" w:hanging="360"/>
      </w:pPr>
      <w:rPr>
        <w:rFonts w:ascii="Century Gothic" w:hAnsi="Century Gothic" w:hint="default"/>
        <w:b/>
        <w:i w:val="0"/>
        <w:color w:val="004976"/>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50671E"/>
    <w:multiLevelType w:val="hybridMultilevel"/>
    <w:tmpl w:val="8EF02762"/>
    <w:lvl w:ilvl="0" w:tplc="BEE61F6A">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4" w15:restartNumberingAfterBreak="0">
    <w:nsid w:val="304F146F"/>
    <w:multiLevelType w:val="hybridMultilevel"/>
    <w:tmpl w:val="A628BB06"/>
    <w:lvl w:ilvl="0" w:tplc="FB94E9A2">
      <w:start w:val="1"/>
      <w:numFmt w:val="decimal"/>
      <w:pStyle w:val="RSCLearningobjectives"/>
      <w:lvlText w:val="%1"/>
      <w:lvlJc w:val="left"/>
      <w:pPr>
        <w:ind w:left="360" w:hanging="360"/>
      </w:pPr>
      <w:rPr>
        <w:rFonts w:hint="default"/>
        <w:b/>
        <w:i w:val="0"/>
        <w:color w:val="00497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CD2538"/>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46127D7"/>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CF1D2C"/>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C7911C3"/>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98875C5"/>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810684F"/>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9060895">
    <w:abstractNumId w:val="17"/>
  </w:num>
  <w:num w:numId="2" w16cid:durableId="1196118066">
    <w:abstractNumId w:val="10"/>
  </w:num>
  <w:num w:numId="3" w16cid:durableId="1684013957">
    <w:abstractNumId w:val="5"/>
  </w:num>
  <w:num w:numId="4" w16cid:durableId="94137991">
    <w:abstractNumId w:val="8"/>
  </w:num>
  <w:num w:numId="5" w16cid:durableId="1272542815">
    <w:abstractNumId w:val="14"/>
  </w:num>
  <w:num w:numId="6" w16cid:durableId="1578638302">
    <w:abstractNumId w:val="16"/>
  </w:num>
  <w:num w:numId="7" w16cid:durableId="1878011126">
    <w:abstractNumId w:val="1"/>
  </w:num>
  <w:num w:numId="8" w16cid:durableId="1100568462">
    <w:abstractNumId w:val="4"/>
  </w:num>
  <w:num w:numId="9" w16cid:durableId="920867388">
    <w:abstractNumId w:val="3"/>
  </w:num>
  <w:num w:numId="10" w16cid:durableId="287249174">
    <w:abstractNumId w:val="2"/>
  </w:num>
  <w:num w:numId="11" w16cid:durableId="508838778">
    <w:abstractNumId w:val="11"/>
  </w:num>
  <w:num w:numId="12" w16cid:durableId="793208404">
    <w:abstractNumId w:val="2"/>
    <w:lvlOverride w:ilvl="0">
      <w:startOverride w:val="1"/>
    </w:lvlOverride>
  </w:num>
  <w:num w:numId="13" w16cid:durableId="388769935">
    <w:abstractNumId w:val="13"/>
  </w:num>
  <w:num w:numId="14" w16cid:durableId="1188257077">
    <w:abstractNumId w:val="12"/>
  </w:num>
  <w:num w:numId="15" w16cid:durableId="1530991476">
    <w:abstractNumId w:val="9"/>
  </w:num>
  <w:num w:numId="16" w16cid:durableId="1791362892">
    <w:abstractNumId w:val="0"/>
  </w:num>
  <w:num w:numId="17" w16cid:durableId="1278371683">
    <w:abstractNumId w:val="6"/>
  </w:num>
  <w:num w:numId="18" w16cid:durableId="529685319">
    <w:abstractNumId w:val="7"/>
  </w:num>
  <w:num w:numId="19" w16cid:durableId="1403873514">
    <w:abstractNumId w:val="3"/>
    <w:lvlOverride w:ilvl="0">
      <w:startOverride w:val="1"/>
    </w:lvlOverride>
  </w:num>
  <w:num w:numId="20" w16cid:durableId="10088253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0C"/>
    <w:rsid w:val="00046265"/>
    <w:rsid w:val="00046615"/>
    <w:rsid w:val="00077CE2"/>
    <w:rsid w:val="00087C7B"/>
    <w:rsid w:val="000B0210"/>
    <w:rsid w:val="000B0FE6"/>
    <w:rsid w:val="000B7A63"/>
    <w:rsid w:val="000E6E48"/>
    <w:rsid w:val="00115FC9"/>
    <w:rsid w:val="00146FCD"/>
    <w:rsid w:val="00147637"/>
    <w:rsid w:val="00180C62"/>
    <w:rsid w:val="00212245"/>
    <w:rsid w:val="002304A7"/>
    <w:rsid w:val="00231C1C"/>
    <w:rsid w:val="002549BE"/>
    <w:rsid w:val="002C2223"/>
    <w:rsid w:val="002D34BA"/>
    <w:rsid w:val="002E47CA"/>
    <w:rsid w:val="002F2A90"/>
    <w:rsid w:val="002F35A3"/>
    <w:rsid w:val="003059AB"/>
    <w:rsid w:val="00362CD9"/>
    <w:rsid w:val="003716B9"/>
    <w:rsid w:val="00383A44"/>
    <w:rsid w:val="003C643A"/>
    <w:rsid w:val="003D6657"/>
    <w:rsid w:val="0044650F"/>
    <w:rsid w:val="0046387A"/>
    <w:rsid w:val="0046389A"/>
    <w:rsid w:val="00466630"/>
    <w:rsid w:val="00485CEA"/>
    <w:rsid w:val="00512B6D"/>
    <w:rsid w:val="00516F80"/>
    <w:rsid w:val="0052289F"/>
    <w:rsid w:val="00552B33"/>
    <w:rsid w:val="005571DB"/>
    <w:rsid w:val="00557BF2"/>
    <w:rsid w:val="005B4AFE"/>
    <w:rsid w:val="005F286E"/>
    <w:rsid w:val="006820BE"/>
    <w:rsid w:val="006D790E"/>
    <w:rsid w:val="006E13FB"/>
    <w:rsid w:val="007042E5"/>
    <w:rsid w:val="00747FE6"/>
    <w:rsid w:val="007A08F5"/>
    <w:rsid w:val="00835B9C"/>
    <w:rsid w:val="00851FE5"/>
    <w:rsid w:val="0089187A"/>
    <w:rsid w:val="00893F3D"/>
    <w:rsid w:val="008A1B0B"/>
    <w:rsid w:val="008B34F9"/>
    <w:rsid w:val="008D7A53"/>
    <w:rsid w:val="008F5A6E"/>
    <w:rsid w:val="009272D0"/>
    <w:rsid w:val="00961330"/>
    <w:rsid w:val="00981941"/>
    <w:rsid w:val="00A13442"/>
    <w:rsid w:val="00A5348B"/>
    <w:rsid w:val="00A571EB"/>
    <w:rsid w:val="00A5740C"/>
    <w:rsid w:val="00A725C3"/>
    <w:rsid w:val="00A742EC"/>
    <w:rsid w:val="00A80F57"/>
    <w:rsid w:val="00A966FC"/>
    <w:rsid w:val="00AF3A61"/>
    <w:rsid w:val="00B226A7"/>
    <w:rsid w:val="00B30A6E"/>
    <w:rsid w:val="00B54656"/>
    <w:rsid w:val="00B62B6A"/>
    <w:rsid w:val="00B67A03"/>
    <w:rsid w:val="00B71E66"/>
    <w:rsid w:val="00B812B1"/>
    <w:rsid w:val="00BA3729"/>
    <w:rsid w:val="00BF7CBA"/>
    <w:rsid w:val="00C1703F"/>
    <w:rsid w:val="00C43346"/>
    <w:rsid w:val="00C87BF4"/>
    <w:rsid w:val="00CD3159"/>
    <w:rsid w:val="00CD5E3C"/>
    <w:rsid w:val="00CF6E3E"/>
    <w:rsid w:val="00CF775D"/>
    <w:rsid w:val="00D00AB5"/>
    <w:rsid w:val="00D17CC0"/>
    <w:rsid w:val="00D45D99"/>
    <w:rsid w:val="00D60D30"/>
    <w:rsid w:val="00DD432E"/>
    <w:rsid w:val="00EC7EFF"/>
    <w:rsid w:val="00F80ECB"/>
    <w:rsid w:val="00FC3B24"/>
    <w:rsid w:val="00FF76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0ABA450C-CE0E-4F6F-BB31-23B302FF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B30A6E"/>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0B0210"/>
    <w:pPr>
      <w:tabs>
        <w:tab w:val="left" w:pos="8505"/>
      </w:tabs>
      <w:spacing w:after="240" w:line="259" w:lineRule="auto"/>
      <w:jc w:val="left"/>
    </w:pPr>
    <w:rPr>
      <w:rFonts w:ascii="Century Gothic" w:hAnsi="Century Gothic"/>
      <w:b/>
      <w:bCs/>
      <w:color w:val="004976"/>
      <w:sz w:val="36"/>
      <w:szCs w:val="36"/>
    </w:rPr>
  </w:style>
  <w:style w:type="paragraph" w:customStyle="1" w:styleId="RSCH2">
    <w:name w:val="RSC H2"/>
    <w:basedOn w:val="Normal"/>
    <w:qFormat/>
    <w:rsid w:val="00B30A6E"/>
    <w:pPr>
      <w:tabs>
        <w:tab w:val="left" w:pos="426"/>
      </w:tabs>
      <w:spacing w:before="500" w:after="160" w:line="259" w:lineRule="auto"/>
      <w:jc w:val="left"/>
    </w:pPr>
    <w:rPr>
      <w:rFonts w:ascii="Century Gothic" w:hAnsi="Century Gothic"/>
      <w:b/>
      <w:bCs/>
      <w:color w:val="004976"/>
      <w:sz w:val="28"/>
      <w:szCs w:val="22"/>
    </w:rPr>
  </w:style>
  <w:style w:type="paragraph" w:customStyle="1" w:styleId="RSCH3">
    <w:name w:val="RSC H3"/>
    <w:basedOn w:val="RSCBasictext"/>
    <w:qFormat/>
    <w:rsid w:val="00B30A6E"/>
    <w:pPr>
      <w:spacing w:before="300"/>
    </w:pPr>
    <w:rPr>
      <w:b/>
      <w:bCs/>
      <w:color w:val="004976"/>
    </w:rPr>
  </w:style>
  <w:style w:type="paragraph" w:customStyle="1" w:styleId="RSCLearningobjectives">
    <w:name w:val="RSC Learning objectives"/>
    <w:basedOn w:val="Normal"/>
    <w:qFormat/>
    <w:rsid w:val="00B812B1"/>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A13442"/>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B30A6E"/>
    <w:pPr>
      <w:tabs>
        <w:tab w:val="left" w:pos="8789"/>
      </w:tabs>
      <w:spacing w:after="240" w:line="259" w:lineRule="auto"/>
      <w:jc w:val="right"/>
    </w:pPr>
    <w:rPr>
      <w:rFonts w:ascii="Century Gothic" w:hAnsi="Century Gothic"/>
      <w:b/>
      <w:color w:val="004976"/>
      <w:sz w:val="18"/>
      <w:szCs w:val="22"/>
    </w:rPr>
  </w:style>
  <w:style w:type="paragraph" w:customStyle="1" w:styleId="RSCnumberedlist">
    <w:name w:val="RSC numbered list"/>
    <w:basedOn w:val="Normal"/>
    <w:qFormat/>
    <w:rsid w:val="00B30A6E"/>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numbering" w:customStyle="1" w:styleId="CurrentList1">
    <w:name w:val="Current List1"/>
    <w:uiPriority w:val="99"/>
    <w:rsid w:val="002D34BA"/>
    <w:pPr>
      <w:numPr>
        <w:numId w:val="13"/>
      </w:numPr>
    </w:pPr>
  </w:style>
  <w:style w:type="numbering" w:customStyle="1" w:styleId="CurrentList2">
    <w:name w:val="Current List2"/>
    <w:uiPriority w:val="99"/>
    <w:rsid w:val="002D34BA"/>
    <w:pPr>
      <w:numPr>
        <w:numId w:val="14"/>
      </w:numPr>
    </w:pPr>
  </w:style>
  <w:style w:type="numbering" w:customStyle="1" w:styleId="CurrentList3">
    <w:name w:val="Current List3"/>
    <w:uiPriority w:val="99"/>
    <w:rsid w:val="002D34BA"/>
    <w:pPr>
      <w:numPr>
        <w:numId w:val="15"/>
      </w:numPr>
    </w:pPr>
  </w:style>
  <w:style w:type="numbering" w:customStyle="1" w:styleId="CurrentList4">
    <w:name w:val="Current List4"/>
    <w:uiPriority w:val="99"/>
    <w:rsid w:val="00B30A6E"/>
    <w:pPr>
      <w:numPr>
        <w:numId w:val="16"/>
      </w:numPr>
    </w:pPr>
  </w:style>
  <w:style w:type="numbering" w:customStyle="1" w:styleId="CurrentList5">
    <w:name w:val="Current List5"/>
    <w:uiPriority w:val="99"/>
    <w:rsid w:val="00B30A6E"/>
    <w:pPr>
      <w:numPr>
        <w:numId w:val="17"/>
      </w:numPr>
    </w:pPr>
  </w:style>
  <w:style w:type="numbering" w:customStyle="1" w:styleId="CurrentList6">
    <w:name w:val="Current List6"/>
    <w:uiPriority w:val="99"/>
    <w:rsid w:val="00B30A6E"/>
    <w:pPr>
      <w:numPr>
        <w:numId w:val="18"/>
      </w:numPr>
    </w:pPr>
  </w:style>
  <w:style w:type="paragraph" w:customStyle="1" w:styleId="URL">
    <w:name w:val="URL"/>
    <w:basedOn w:val="RSCH3"/>
    <w:qFormat/>
    <w:rsid w:val="005F286E"/>
    <w:pPr>
      <w:spacing w:before="0" w:after="504"/>
    </w:pPr>
  </w:style>
  <w:style w:type="paragraph" w:customStyle="1" w:styleId="RSCURL">
    <w:name w:val="RSC URL"/>
    <w:basedOn w:val="Normal"/>
    <w:qFormat/>
    <w:rsid w:val="002549BE"/>
    <w:pPr>
      <w:spacing w:after="86"/>
      <w:ind w:right="-850"/>
      <w:jc w:val="left"/>
    </w:pPr>
    <w:rPr>
      <w:rFonts w:ascii="Century Gothic" w:hAnsi="Century Gothic"/>
      <w:b/>
      <w:bCs/>
      <w:color w:val="004976"/>
      <w:sz w:val="18"/>
      <w:szCs w:val="18"/>
    </w:rPr>
  </w:style>
  <w:style w:type="paragraph" w:customStyle="1" w:styleId="RSCH4">
    <w:name w:val="RSC H4"/>
    <w:basedOn w:val="RSCH2"/>
    <w:qFormat/>
    <w:rsid w:val="00FC3B24"/>
    <w:pPr>
      <w:spacing w:before="302" w:after="115"/>
    </w:pPr>
    <w:rPr>
      <w:b w:val="0"/>
      <w:bCs w:val="0"/>
      <w:i/>
      <w:iCs/>
      <w:sz w:val="20"/>
      <w:szCs w:val="20"/>
    </w:rPr>
  </w:style>
  <w:style w:type="paragraph" w:customStyle="1" w:styleId="RSCEQ">
    <w:name w:val="RSC EQ"/>
    <w:basedOn w:val="RSCBasictext"/>
    <w:qFormat/>
    <w:rsid w:val="00893F3D"/>
    <w:pPr>
      <w:jc w:val="center"/>
    </w:pPr>
  </w:style>
  <w:style w:type="table" w:styleId="TableGrid">
    <w:name w:val="Table Grid"/>
    <w:basedOn w:val="TableNormal"/>
    <w:uiPriority w:val="39"/>
    <w:rsid w:val="00D00AB5"/>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7">
    <w:name w:val="Current List7"/>
    <w:uiPriority w:val="99"/>
    <w:rsid w:val="00A13442"/>
    <w:pPr>
      <w:numPr>
        <w:numId w:val="20"/>
      </w:numPr>
    </w:pPr>
  </w:style>
  <w:style w:type="character" w:styleId="UnresolvedMention">
    <w:name w:val="Unresolved Mention"/>
    <w:basedOn w:val="DefaultParagraphFont"/>
    <w:uiPriority w:val="99"/>
    <w:semiHidden/>
    <w:unhideWhenUsed/>
    <w:rsid w:val="00B812B1"/>
    <w:rPr>
      <w:color w:val="605E5C"/>
      <w:shd w:val="clear" w:color="auto" w:fill="E1DFDD"/>
    </w:rPr>
  </w:style>
  <w:style w:type="paragraph" w:styleId="Caption">
    <w:name w:val="caption"/>
    <w:basedOn w:val="Normal"/>
    <w:next w:val="Normal"/>
    <w:uiPriority w:val="35"/>
    <w:unhideWhenUsed/>
    <w:qFormat/>
    <w:rsid w:val="00A742EC"/>
    <w:pPr>
      <w:spacing w:after="200" w:line="240" w:lineRule="auto"/>
      <w:jc w:val="left"/>
      <w:outlineLvl w:val="9"/>
    </w:pPr>
    <w:rPr>
      <w:rFonts w:asciiTheme="minorHAnsi" w:hAnsiTheme="minorHAnsi" w:cstheme="minorBidi"/>
      <w:i/>
      <w:iCs/>
      <w:color w:val="44546A" w:themeColor="text2"/>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2565402">
      <w:bodyDiv w:val="1"/>
      <w:marLeft w:val="0"/>
      <w:marRight w:val="0"/>
      <w:marTop w:val="0"/>
      <w:marBottom w:val="0"/>
      <w:divBdr>
        <w:top w:val="none" w:sz="0" w:space="0" w:color="auto"/>
        <w:left w:val="none" w:sz="0" w:space="0" w:color="auto"/>
        <w:bottom w:val="none" w:sz="0" w:space="0" w:color="auto"/>
        <w:right w:val="none" w:sz="0" w:space="0" w:color="auto"/>
      </w:divBdr>
    </w:div>
    <w:div w:id="1363365008">
      <w:bodyDiv w:val="1"/>
      <w:marLeft w:val="0"/>
      <w:marRight w:val="0"/>
      <w:marTop w:val="0"/>
      <w:marBottom w:val="0"/>
      <w:divBdr>
        <w:top w:val="none" w:sz="0" w:space="0" w:color="auto"/>
        <w:left w:val="none" w:sz="0" w:space="0" w:color="auto"/>
        <w:bottom w:val="none" w:sz="0" w:space="0" w:color="auto"/>
        <w:right w:val="none" w:sz="0" w:space="0" w:color="auto"/>
      </w:divBdr>
    </w:div>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1478304068">
                                              <w:marLeft w:val="0"/>
                                              <w:marRight w:val="0"/>
                                              <w:marTop w:val="0"/>
                                              <w:marBottom w:val="0"/>
                                              <w:divBdr>
                                                <w:top w:val="none" w:sz="0" w:space="0" w:color="auto"/>
                                                <w:left w:val="none" w:sz="0" w:space="0" w:color="auto"/>
                                                <w:bottom w:val="none" w:sz="0" w:space="0" w:color="auto"/>
                                                <w:right w:val="none" w:sz="0" w:space="0" w:color="auto"/>
                                              </w:divBdr>
                                            </w:div>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sc.li/3XN1YF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F0E1A7-67B9-40D6-84A8-73D0D6F98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4</Pages>
  <Words>1102</Words>
  <Characters>5282</Characters>
  <Application>Microsoft Office Word</Application>
  <DocSecurity>0</DocSecurity>
  <Lines>117</Lines>
  <Paragraphs>65</Paragraphs>
  <ScaleCrop>false</ScaleCrop>
  <HeadingPairs>
    <vt:vector size="2" baseType="variant">
      <vt:variant>
        <vt:lpstr>Title</vt:lpstr>
      </vt:variant>
      <vt:variant>
        <vt:i4>1</vt:i4>
      </vt:variant>
    </vt:vector>
  </HeadingPairs>
  <TitlesOfParts>
    <vt:vector size="1" baseType="lpstr">
      <vt:lpstr/>
    </vt:vector>
  </TitlesOfParts>
  <Manager/>
  <Company>Royal Society Of Chemistry</Company>
  <LinksUpToDate>false</LinksUpToDate>
  <CharactersWithSpaces>6319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Royal Society Of Chemistry</dc:creator>
  <cp:keywords/>
  <dc:description/>
  <cp:lastModifiedBy>Anastasia Marsh</cp:lastModifiedBy>
  <cp:revision>8</cp:revision>
  <dcterms:created xsi:type="dcterms:W3CDTF">2023-01-20T10:57:00Z</dcterms:created>
  <dcterms:modified xsi:type="dcterms:W3CDTF">2023-01-23T10:10:00Z</dcterms:modified>
  <cp:category/>
</cp:coreProperties>
</file>