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72340B9A" w:rsidR="00A0567D" w:rsidRDefault="00337488" w:rsidP="003D4276">
      <w:pPr>
        <w:pStyle w:val="RSCH1"/>
      </w:pPr>
      <w:r>
        <w:t>Electron configurations</w:t>
      </w:r>
    </w:p>
    <w:p w14:paraId="284DE09B" w14:textId="43790A6E" w:rsidR="005E3A99" w:rsidRDefault="009B1586" w:rsidP="00A03436">
      <w:pPr>
        <w:pStyle w:val="RSCBasictext"/>
      </w:pPr>
      <w:r>
        <w:t xml:space="preserve">We </w:t>
      </w:r>
      <w:r w:rsidR="00C447AD">
        <w:t>describe</w:t>
      </w:r>
      <w:r w:rsidR="009611E6">
        <w:t xml:space="preserve"> </w:t>
      </w:r>
      <w:r w:rsidR="009611E6" w:rsidRPr="001A2AA4">
        <w:t xml:space="preserve">most </w:t>
      </w:r>
      <w:r w:rsidR="009611E6" w:rsidRPr="00DC6214">
        <w:t xml:space="preserve">chemical changes in terms of a </w:t>
      </w:r>
      <w:r w:rsidR="00CC1A87" w:rsidRPr="00DC6214">
        <w:t>rearrangement of electrons</w:t>
      </w:r>
      <w:r w:rsidR="00CC1A87" w:rsidRPr="001A2AA4">
        <w:t>.</w:t>
      </w:r>
      <w:r w:rsidR="00CC1A87">
        <w:t xml:space="preserve"> </w:t>
      </w:r>
      <w:r w:rsidR="00244B3D">
        <w:t>It’s</w:t>
      </w:r>
      <w:r w:rsidR="00A565EE">
        <w:t xml:space="preserve"> </w:t>
      </w:r>
      <w:r w:rsidR="00244B3D">
        <w:t>therefore</w:t>
      </w:r>
      <w:r w:rsidR="00BA4B08">
        <w:t xml:space="preserve"> </w:t>
      </w:r>
      <w:r w:rsidR="00A565EE">
        <w:t xml:space="preserve">crucial to have an accurate understanding of the </w:t>
      </w:r>
      <w:r w:rsidR="00F37F93" w:rsidRPr="00DC6214">
        <w:rPr>
          <w:b/>
          <w:bCs/>
        </w:rPr>
        <w:t>arrangement of electrons</w:t>
      </w:r>
      <w:r w:rsidR="00F37F93">
        <w:t xml:space="preserve"> (</w:t>
      </w:r>
      <w:r w:rsidR="00C447AD" w:rsidRPr="00883B5D">
        <w:rPr>
          <w:b/>
          <w:bCs/>
        </w:rPr>
        <w:t xml:space="preserve">the </w:t>
      </w:r>
      <w:r w:rsidR="00F37F93" w:rsidRPr="00883B5D">
        <w:rPr>
          <w:b/>
          <w:bCs/>
        </w:rPr>
        <w:t>electron configuration</w:t>
      </w:r>
      <w:r w:rsidR="00F37F93">
        <w:t xml:space="preserve">) </w:t>
      </w:r>
      <w:r w:rsidR="000F3994">
        <w:t xml:space="preserve">in atoms </w:t>
      </w:r>
      <w:r w:rsidR="00227452">
        <w:t xml:space="preserve">and </w:t>
      </w:r>
      <w:r w:rsidR="00562C04">
        <w:t>ions</w:t>
      </w:r>
      <w:r w:rsidR="003425E8">
        <w:t xml:space="preserve">. </w:t>
      </w:r>
      <w:r w:rsidR="00562C04">
        <w:t xml:space="preserve">Electron configurations give us insight into the </w:t>
      </w:r>
      <w:r w:rsidR="007D1DE2">
        <w:t xml:space="preserve">bonds that </w:t>
      </w:r>
      <w:r w:rsidR="00367BB8">
        <w:t>atoms are likely to form</w:t>
      </w:r>
      <w:r w:rsidR="00514968">
        <w:t xml:space="preserve"> and the </w:t>
      </w:r>
      <w:r w:rsidR="00E17AC1">
        <w:t xml:space="preserve">relative </w:t>
      </w:r>
      <w:r w:rsidR="00514968">
        <w:t>stability of ions.</w:t>
      </w:r>
      <w:r w:rsidR="00367BB8">
        <w:t xml:space="preserve"> </w:t>
      </w:r>
    </w:p>
    <w:p w14:paraId="5FFEA96D" w14:textId="0146AA29" w:rsidR="00520A6A" w:rsidRDefault="00FC3BCC" w:rsidP="00520A6A">
      <w:pPr>
        <w:pStyle w:val="RSCH2"/>
      </w:pPr>
      <w:r>
        <w:t>Build</w:t>
      </w:r>
      <w:r w:rsidR="000F1C6E">
        <w:t>ing</w:t>
      </w:r>
      <w:r>
        <w:t xml:space="preserve"> on </w:t>
      </w:r>
      <w:r w:rsidR="00062B33">
        <w:t xml:space="preserve">earlier </w:t>
      </w:r>
      <w:r w:rsidR="000F1C6E">
        <w:t>concepts</w:t>
      </w:r>
    </w:p>
    <w:p w14:paraId="3A67CF7D" w14:textId="136ECBD5" w:rsidR="00FA2BF4" w:rsidRDefault="005E3A99" w:rsidP="005E3A99">
      <w:pPr>
        <w:pStyle w:val="RSCnumberedlist"/>
        <w:numPr>
          <w:ilvl w:val="0"/>
          <w:numId w:val="0"/>
        </w:numPr>
      </w:pPr>
      <w:r>
        <w:t xml:space="preserve">You will be familiar with electron configurations </w:t>
      </w:r>
      <w:r w:rsidR="00F95B02">
        <w:t>such as</w:t>
      </w:r>
      <w:r w:rsidR="00F95B02" w:rsidRPr="007C2310">
        <w:t xml:space="preserve"> </w:t>
      </w:r>
      <w:r w:rsidR="00F95B02" w:rsidRPr="00AE491D">
        <w:rPr>
          <w:b/>
          <w:bCs/>
        </w:rPr>
        <w:t>2,8,1</w:t>
      </w:r>
      <w:r w:rsidR="00F95B02" w:rsidRPr="007C2310">
        <w:t xml:space="preserve"> </w:t>
      </w:r>
      <w:r w:rsidR="00F95B02">
        <w:t xml:space="preserve">for an atom of </w:t>
      </w:r>
      <w:r w:rsidR="00F95B02" w:rsidRPr="00DC6214">
        <w:rPr>
          <w:b/>
          <w:bCs/>
        </w:rPr>
        <w:t>sodium</w:t>
      </w:r>
      <w:r w:rsidR="00F95B02">
        <w:t xml:space="preserve"> </w:t>
      </w:r>
      <w:r>
        <w:t>from your pre</w:t>
      </w:r>
      <w:r w:rsidR="003C302A">
        <w:t>-</w:t>
      </w:r>
      <w:r>
        <w:t xml:space="preserve">16 chemistry course. This </w:t>
      </w:r>
      <w:r w:rsidRPr="001A2AA4">
        <w:t xml:space="preserve">means </w:t>
      </w:r>
      <w:r w:rsidR="007C2310" w:rsidRPr="00DC6214">
        <w:t>two</w:t>
      </w:r>
      <w:r w:rsidRPr="00DC6214">
        <w:t xml:space="preserve"> electrons in the first shell, eight in the second shell and </w:t>
      </w:r>
      <w:r w:rsidR="003C302A" w:rsidRPr="00DC6214">
        <w:t>one</w:t>
      </w:r>
      <w:r w:rsidRPr="00DC6214">
        <w:t xml:space="preserve"> in the third shell.</w:t>
      </w:r>
      <w:r w:rsidRPr="00846A02">
        <w:rPr>
          <w:b/>
          <w:bCs/>
        </w:rPr>
        <w:t xml:space="preserve"> </w:t>
      </w:r>
      <w:r>
        <w:t xml:space="preserve">What may not have been as clear is that </w:t>
      </w:r>
      <w:r w:rsidRPr="00DC6214">
        <w:rPr>
          <w:b/>
          <w:bCs/>
        </w:rPr>
        <w:t>shells</w:t>
      </w:r>
      <w:r>
        <w:t xml:space="preserve"> are </w:t>
      </w:r>
      <w:r w:rsidR="00A413CF">
        <w:t xml:space="preserve">the </w:t>
      </w:r>
      <w:r w:rsidRPr="00DC6214">
        <w:t>allowed</w:t>
      </w:r>
      <w:r w:rsidRPr="00883B5D">
        <w:rPr>
          <w:b/>
          <w:bCs/>
        </w:rPr>
        <w:t xml:space="preserve"> energy levels</w:t>
      </w:r>
      <w:r w:rsidR="00A413CF">
        <w:rPr>
          <w:b/>
          <w:bCs/>
        </w:rPr>
        <w:t xml:space="preserve"> </w:t>
      </w:r>
      <w:r w:rsidR="00A413CF" w:rsidRPr="00DC6214">
        <w:t>of electrons</w:t>
      </w:r>
      <w:r w:rsidR="00A413CF">
        <w:rPr>
          <w:b/>
          <w:bCs/>
        </w:rPr>
        <w:t>.</w:t>
      </w:r>
      <w:r w:rsidRPr="00264BAC">
        <w:t xml:space="preserve"> </w:t>
      </w:r>
      <w:r w:rsidR="00A413CF">
        <w:t>T</w:t>
      </w:r>
      <w:r w:rsidRPr="00264BAC">
        <w:t xml:space="preserve">he </w:t>
      </w:r>
      <w:r w:rsidRPr="00532651">
        <w:rPr>
          <w:b/>
          <w:bCs/>
        </w:rPr>
        <w:t>first shell</w:t>
      </w:r>
      <w:r w:rsidR="00A413CF" w:rsidRPr="00DC6214">
        <w:t xml:space="preserve"> has</w:t>
      </w:r>
      <w:r w:rsidRPr="00DC6214">
        <w:t xml:space="preserve"> the </w:t>
      </w:r>
      <w:r w:rsidRPr="00532651">
        <w:rPr>
          <w:b/>
          <w:bCs/>
        </w:rPr>
        <w:t xml:space="preserve">lowest </w:t>
      </w:r>
      <w:proofErr w:type="gramStart"/>
      <w:r w:rsidRPr="00532651">
        <w:rPr>
          <w:b/>
          <w:bCs/>
        </w:rPr>
        <w:t>energy</w:t>
      </w:r>
      <w:proofErr w:type="gramEnd"/>
      <w:r>
        <w:t xml:space="preserve"> and the energies </w:t>
      </w:r>
      <w:r w:rsidR="00A413CF" w:rsidRPr="00DC6214">
        <w:rPr>
          <w:b/>
          <w:bCs/>
        </w:rPr>
        <w:t>increase</w:t>
      </w:r>
      <w:r>
        <w:t xml:space="preserve"> as the electrons get </w:t>
      </w:r>
      <w:r w:rsidRPr="00DC6214">
        <w:rPr>
          <w:b/>
          <w:bCs/>
        </w:rPr>
        <w:t>further away</w:t>
      </w:r>
      <w:r>
        <w:t xml:space="preserve"> from the positively charged nucleus. </w:t>
      </w:r>
    </w:p>
    <w:p w14:paraId="6E8A9E52" w14:textId="2894C829" w:rsidR="00FA2BF4" w:rsidRDefault="00A23421" w:rsidP="00FA2BF4">
      <w:pPr>
        <w:pStyle w:val="RSCH2"/>
      </w:pPr>
      <w:r>
        <w:t>Refining the model</w:t>
      </w:r>
    </w:p>
    <w:p w14:paraId="733AB824" w14:textId="3D1F32E9" w:rsidR="001F1C5C" w:rsidRPr="00532651" w:rsidRDefault="008C109F" w:rsidP="008C109F">
      <w:pPr>
        <w:pStyle w:val="RSCBasictext"/>
      </w:pPr>
      <w:r>
        <w:t xml:space="preserve">Because electrons have </w:t>
      </w:r>
      <w:r w:rsidRPr="00846A02">
        <w:rPr>
          <w:b/>
          <w:bCs/>
        </w:rPr>
        <w:t>wavelike properties</w:t>
      </w:r>
      <w:r>
        <w:t xml:space="preserve"> </w:t>
      </w:r>
      <w:r w:rsidR="00A14B0B">
        <w:t>(as well as some particle</w:t>
      </w:r>
      <w:r w:rsidR="00EA6047">
        <w:t>-</w:t>
      </w:r>
      <w:r w:rsidR="00A14B0B">
        <w:t>like properties</w:t>
      </w:r>
      <w:r w:rsidR="00737A16">
        <w:t>)</w:t>
      </w:r>
      <w:r w:rsidR="00A14B0B">
        <w:t xml:space="preserve"> they</w:t>
      </w:r>
      <w:r w:rsidR="00B25AA1">
        <w:t xml:space="preserve"> can only </w:t>
      </w:r>
      <w:r w:rsidR="00931D7A" w:rsidRPr="00532651">
        <w:t xml:space="preserve">have </w:t>
      </w:r>
      <w:r w:rsidR="00931D7A" w:rsidRPr="00DC6214">
        <w:t>the energy allowed</w:t>
      </w:r>
      <w:r w:rsidR="00931D7A" w:rsidRPr="00532651">
        <w:t xml:space="preserve"> </w:t>
      </w:r>
      <w:r w:rsidR="002F0270" w:rsidRPr="00532651">
        <w:t>by</w:t>
      </w:r>
      <w:r w:rsidR="00452D8D" w:rsidRPr="00532651">
        <w:t xml:space="preserve"> the </w:t>
      </w:r>
      <w:r w:rsidR="00452D8D" w:rsidRPr="00DC6214">
        <w:t xml:space="preserve">various standing waves </w:t>
      </w:r>
      <w:r w:rsidR="0038553C" w:rsidRPr="00DC6214">
        <w:t>possible around</w:t>
      </w:r>
      <w:r w:rsidR="002F0270" w:rsidRPr="00DC6214">
        <w:t xml:space="preserve"> the nucleus</w:t>
      </w:r>
      <w:r w:rsidR="00905485" w:rsidRPr="00DC6214">
        <w:t xml:space="preserve"> in the atom</w:t>
      </w:r>
      <w:r w:rsidR="00402495" w:rsidRPr="00532651">
        <w:t>.</w:t>
      </w:r>
      <w:r w:rsidR="00425DD1">
        <w:t xml:space="preserve"> When we look clo</w:t>
      </w:r>
      <w:r w:rsidR="004D70BB">
        <w:t>sely</w:t>
      </w:r>
      <w:r w:rsidR="007E01AA">
        <w:t>,</w:t>
      </w:r>
      <w:r w:rsidR="00206355">
        <w:t xml:space="preserve"> we find </w:t>
      </w:r>
      <w:r w:rsidR="009B5DA1">
        <w:t xml:space="preserve">that </w:t>
      </w:r>
      <w:r w:rsidR="00611397">
        <w:t xml:space="preserve">all </w:t>
      </w:r>
      <w:r w:rsidR="00694E25">
        <w:t xml:space="preserve">shells </w:t>
      </w:r>
      <w:r w:rsidR="00611397">
        <w:t xml:space="preserve">but the first </w:t>
      </w:r>
      <w:r w:rsidR="00ED0906">
        <w:t xml:space="preserve">are </w:t>
      </w:r>
      <w:r w:rsidR="00ED0906" w:rsidRPr="00DC6214">
        <w:t xml:space="preserve">subdivided into </w:t>
      </w:r>
      <w:r w:rsidR="007E3756" w:rsidRPr="00DC6214">
        <w:t xml:space="preserve">different </w:t>
      </w:r>
      <w:r w:rsidR="000F764A" w:rsidRPr="00DC6214">
        <w:t xml:space="preserve">energy </w:t>
      </w:r>
      <w:r w:rsidR="007E3756" w:rsidRPr="00DC6214">
        <w:t xml:space="preserve">levels </w:t>
      </w:r>
      <w:r w:rsidR="000F2940" w:rsidRPr="00DC6214">
        <w:t>called</w:t>
      </w:r>
      <w:r w:rsidR="000F2940" w:rsidRPr="000F764A">
        <w:rPr>
          <w:b/>
          <w:bCs/>
        </w:rPr>
        <w:t xml:space="preserve"> subshells</w:t>
      </w:r>
      <w:r w:rsidR="00694E25" w:rsidRPr="00694E25">
        <w:t xml:space="preserve"> </w:t>
      </w:r>
      <w:r w:rsidR="00694E25">
        <w:t xml:space="preserve">with different shaped </w:t>
      </w:r>
      <w:r w:rsidR="00694E25" w:rsidRPr="00DC6214">
        <w:rPr>
          <w:b/>
          <w:bCs/>
        </w:rPr>
        <w:t>orbitals</w:t>
      </w:r>
      <w:r w:rsidR="000F2940" w:rsidRPr="000F764A">
        <w:rPr>
          <w:b/>
          <w:bCs/>
        </w:rPr>
        <w:t>.</w:t>
      </w:r>
      <w:r w:rsidR="000F2940">
        <w:t xml:space="preserve"> </w:t>
      </w:r>
      <w:r w:rsidR="00206355">
        <w:t xml:space="preserve"> </w:t>
      </w:r>
      <w:r w:rsidR="000F2940">
        <w:t>T</w:t>
      </w:r>
      <w:r w:rsidR="00206355">
        <w:t>he</w:t>
      </w:r>
      <w:r w:rsidR="00CC5C5F">
        <w:t xml:space="preserve"> second shell is divided into two </w:t>
      </w:r>
      <w:r w:rsidR="0038553C">
        <w:t>subshell</w:t>
      </w:r>
      <w:r w:rsidR="00344BB6">
        <w:t>s</w:t>
      </w:r>
      <w:r w:rsidR="001F1C5C">
        <w:t xml:space="preserve"> – </w:t>
      </w:r>
      <w:r w:rsidR="00321169">
        <w:t>s and p</w:t>
      </w:r>
      <w:r w:rsidR="0086179C" w:rsidRPr="00532651">
        <w:t xml:space="preserve">. </w:t>
      </w:r>
      <w:r w:rsidR="000F2940" w:rsidRPr="00DC6214">
        <w:t xml:space="preserve">The third </w:t>
      </w:r>
      <w:r w:rsidR="00B66CAF" w:rsidRPr="00DC6214">
        <w:t>shell is divided into three subshells</w:t>
      </w:r>
      <w:r w:rsidR="001F1C5C" w:rsidRPr="00DC6214">
        <w:t xml:space="preserve"> – </w:t>
      </w:r>
      <w:r w:rsidR="00B66CAF" w:rsidRPr="00DC6214">
        <w:t>s, p and d</w:t>
      </w:r>
      <w:r w:rsidR="00B66CAF" w:rsidRPr="00532651">
        <w:t xml:space="preserve">. </w:t>
      </w:r>
    </w:p>
    <w:p w14:paraId="236898E6" w14:textId="4A0D702C" w:rsidR="00A51F19" w:rsidRDefault="00374B60" w:rsidP="008C109F">
      <w:pPr>
        <w:pStyle w:val="RSCBasictext"/>
      </w:pPr>
      <w:r>
        <w:t>Energy lev</w:t>
      </w:r>
      <w:r w:rsidR="00A27D64">
        <w:t>els are filled lowest energy first</w:t>
      </w:r>
      <w:r w:rsidR="003533F8">
        <w:t>,</w:t>
      </w:r>
      <w:r w:rsidR="00A27D64">
        <w:t xml:space="preserve"> so the electron configuration of sodium </w:t>
      </w:r>
      <w:r w:rsidR="00BE2362">
        <w:t xml:space="preserve">can be represented as </w:t>
      </w:r>
      <w:r w:rsidR="00BE2362" w:rsidRPr="00DC6214">
        <w:rPr>
          <w:b/>
          <w:bCs/>
          <w:color w:val="000000" w:themeColor="text1"/>
        </w:rPr>
        <w:t>1s</w:t>
      </w:r>
      <w:r w:rsidR="00BE2362" w:rsidRPr="00DC6214">
        <w:rPr>
          <w:b/>
          <w:bCs/>
          <w:color w:val="000000" w:themeColor="text1"/>
          <w:vertAlign w:val="superscript"/>
        </w:rPr>
        <w:t>2</w:t>
      </w:r>
      <w:r w:rsidR="00BE2362" w:rsidRPr="00DC6214">
        <w:rPr>
          <w:b/>
          <w:bCs/>
          <w:color w:val="000000" w:themeColor="text1"/>
        </w:rPr>
        <w:t>, 2s</w:t>
      </w:r>
      <w:r w:rsidR="00BE2362" w:rsidRPr="00DC6214">
        <w:rPr>
          <w:b/>
          <w:bCs/>
          <w:color w:val="000000" w:themeColor="text1"/>
          <w:vertAlign w:val="superscript"/>
        </w:rPr>
        <w:t>2</w:t>
      </w:r>
      <w:r w:rsidR="00BE2362" w:rsidRPr="00DC6214">
        <w:rPr>
          <w:b/>
          <w:bCs/>
          <w:color w:val="000000" w:themeColor="text1"/>
        </w:rPr>
        <w:t>, 2p</w:t>
      </w:r>
      <w:r w:rsidR="00BE2362" w:rsidRPr="00DC6214">
        <w:rPr>
          <w:b/>
          <w:bCs/>
          <w:color w:val="000000" w:themeColor="text1"/>
          <w:vertAlign w:val="superscript"/>
        </w:rPr>
        <w:t>6</w:t>
      </w:r>
      <w:r w:rsidR="00BE2362" w:rsidRPr="00DC6214">
        <w:rPr>
          <w:b/>
          <w:bCs/>
          <w:color w:val="000000" w:themeColor="text1"/>
        </w:rPr>
        <w:t>, 3s</w:t>
      </w:r>
      <w:r w:rsidR="00BE2362" w:rsidRPr="00DC6214">
        <w:rPr>
          <w:b/>
          <w:bCs/>
          <w:color w:val="000000" w:themeColor="text1"/>
          <w:vertAlign w:val="superscript"/>
        </w:rPr>
        <w:t>1</w:t>
      </w:r>
      <w:r w:rsidR="00461744">
        <w:t xml:space="preserve">. </w:t>
      </w:r>
      <w:r w:rsidR="0086179C" w:rsidRPr="005B74DA">
        <w:rPr>
          <w:b/>
          <w:bCs/>
        </w:rPr>
        <w:t xml:space="preserve">Orbitals </w:t>
      </w:r>
      <w:r w:rsidR="0086179C">
        <w:t xml:space="preserve">are the </w:t>
      </w:r>
      <w:r w:rsidR="0086179C" w:rsidRPr="005B74DA">
        <w:rPr>
          <w:b/>
          <w:bCs/>
        </w:rPr>
        <w:t>regions in space</w:t>
      </w:r>
      <w:r w:rsidR="0086179C">
        <w:t xml:space="preserve"> in which we are </w:t>
      </w:r>
      <w:r w:rsidR="001F22D5">
        <w:t xml:space="preserve">likely </w:t>
      </w:r>
      <w:r w:rsidR="0054317B">
        <w:t xml:space="preserve">to find </w:t>
      </w:r>
      <w:r w:rsidR="0036453C">
        <w:t>electrons</w:t>
      </w:r>
      <w:r w:rsidR="00E46853">
        <w:t xml:space="preserve">. The drawings of these regions are usually the </w:t>
      </w:r>
      <w:r w:rsidR="00E46853" w:rsidRPr="00E33F25">
        <w:rPr>
          <w:b/>
          <w:bCs/>
        </w:rPr>
        <w:t xml:space="preserve">95% </w:t>
      </w:r>
      <w:r w:rsidR="00A76F72" w:rsidRPr="00E33F25">
        <w:rPr>
          <w:b/>
          <w:bCs/>
        </w:rPr>
        <w:t>probability</w:t>
      </w:r>
      <w:r w:rsidR="00A76F72">
        <w:t xml:space="preserve"> </w:t>
      </w:r>
      <w:r w:rsidR="00E46853">
        <w:t>contour line</w:t>
      </w:r>
      <w:r w:rsidR="00A76F72">
        <w:t xml:space="preserve">, </w:t>
      </w:r>
      <w:proofErr w:type="spellStart"/>
      <w:proofErr w:type="gramStart"/>
      <w:r w:rsidR="00A76F72">
        <w:t>ie</w:t>
      </w:r>
      <w:proofErr w:type="spellEnd"/>
      <w:proofErr w:type="gramEnd"/>
      <w:r w:rsidR="00A76F72">
        <w:t xml:space="preserve"> the electron</w:t>
      </w:r>
      <w:r w:rsidR="00180DC4">
        <w:t>s</w:t>
      </w:r>
      <w:r w:rsidR="00A76F72">
        <w:t xml:space="preserve"> in the orbital spend 95% of </w:t>
      </w:r>
      <w:r w:rsidR="00180DC4">
        <w:t>their</w:t>
      </w:r>
      <w:r w:rsidR="00A76F72">
        <w:t xml:space="preserve"> time within the boundary drawn</w:t>
      </w:r>
      <w:r w:rsidR="0031723D">
        <w:t>.</w:t>
      </w:r>
      <w:r w:rsidR="002C396A">
        <w:t xml:space="preserve"> </w:t>
      </w:r>
      <w:r w:rsidR="00385576" w:rsidRPr="00DC6214">
        <w:t>E</w:t>
      </w:r>
      <w:r w:rsidR="006477BB" w:rsidRPr="00DC6214">
        <w:t>ach</w:t>
      </w:r>
      <w:r w:rsidR="002C396A" w:rsidRPr="00DC6214">
        <w:t xml:space="preserve"> orbital can </w:t>
      </w:r>
      <w:r w:rsidR="00E55B82" w:rsidRPr="00DC6214">
        <w:t>contain just two electrons</w:t>
      </w:r>
      <w:r w:rsidR="00E55B82" w:rsidRPr="00D41CDF">
        <w:t>, which</w:t>
      </w:r>
      <w:r w:rsidR="00E55B82">
        <w:t xml:space="preserve"> have to have </w:t>
      </w:r>
      <w:r w:rsidR="00E55B82" w:rsidRPr="00DC6214">
        <w:rPr>
          <w:b/>
          <w:bCs/>
        </w:rPr>
        <w:t>opposite spin</w:t>
      </w:r>
      <w:r w:rsidR="00E33F25">
        <w:t xml:space="preserve"> from each other</w:t>
      </w:r>
      <w:r w:rsidR="002A51C0">
        <w:t>:</w:t>
      </w:r>
      <w:r w:rsidR="00E55B82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3"/>
        <w:gridCol w:w="3944"/>
      </w:tblGrid>
      <w:tr w:rsidR="00DC6214" w:rsidRPr="00985C41" w14:paraId="352C3573" w14:textId="77777777" w:rsidTr="00DC6214">
        <w:trPr>
          <w:trHeight w:val="482"/>
          <w:jc w:val="center"/>
        </w:trPr>
        <w:tc>
          <w:tcPr>
            <w:tcW w:w="1129" w:type="dxa"/>
            <w:shd w:val="clear" w:color="auto" w:fill="BFDDE8"/>
            <w:vAlign w:val="center"/>
          </w:tcPr>
          <w:p w14:paraId="2EF1449A" w14:textId="4F07B799" w:rsidR="00DC6214" w:rsidRPr="00D00AB5" w:rsidRDefault="00DC6214" w:rsidP="002C46DA">
            <w:pPr>
              <w:spacing w:before="58" w:after="58" w:line="259" w:lineRule="auto"/>
              <w:ind w:right="28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Subshell</w:t>
            </w:r>
          </w:p>
        </w:tc>
        <w:tc>
          <w:tcPr>
            <w:tcW w:w="3943" w:type="dxa"/>
            <w:shd w:val="clear" w:color="auto" w:fill="BFDDE8"/>
            <w:vAlign w:val="center"/>
          </w:tcPr>
          <w:p w14:paraId="78E18336" w14:textId="24B3460A" w:rsidR="00DC6214" w:rsidRPr="00D00AB5" w:rsidRDefault="00DC6214" w:rsidP="00DC6214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Number of orbitals in subshell</w:t>
            </w:r>
          </w:p>
        </w:tc>
        <w:tc>
          <w:tcPr>
            <w:tcW w:w="3944" w:type="dxa"/>
            <w:shd w:val="clear" w:color="auto" w:fill="BFDDE8"/>
            <w:vAlign w:val="center"/>
          </w:tcPr>
          <w:p w14:paraId="7E73A274" w14:textId="10B76473" w:rsidR="00DC6214" w:rsidRPr="00D00AB5" w:rsidRDefault="00DC6214" w:rsidP="00DC6214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Maximum number of electrons in subshell</w:t>
            </w:r>
          </w:p>
        </w:tc>
      </w:tr>
      <w:tr w:rsidR="00DC6214" w:rsidRPr="00985C41" w14:paraId="6E3DA489" w14:textId="77777777" w:rsidTr="00DC6214">
        <w:trPr>
          <w:trHeight w:val="482"/>
          <w:jc w:val="center"/>
        </w:trPr>
        <w:tc>
          <w:tcPr>
            <w:tcW w:w="1129" w:type="dxa"/>
            <w:vAlign w:val="center"/>
          </w:tcPr>
          <w:p w14:paraId="7C0B599C" w14:textId="058FD9D1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943" w:type="dxa"/>
            <w:vAlign w:val="center"/>
          </w:tcPr>
          <w:p w14:paraId="5A79B7E5" w14:textId="3B7D04EA" w:rsidR="00DC6214" w:rsidRPr="00985C41" w:rsidRDefault="00DC6214" w:rsidP="00DC6214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3944" w:type="dxa"/>
            <w:vAlign w:val="center"/>
          </w:tcPr>
          <w:p w14:paraId="0A90C0B5" w14:textId="319399E0" w:rsidR="00DC6214" w:rsidRPr="00DC6214" w:rsidRDefault="00DC6214" w:rsidP="00DC6214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2</w:t>
            </w:r>
          </w:p>
        </w:tc>
      </w:tr>
      <w:tr w:rsidR="00DC6214" w:rsidRPr="00985C41" w14:paraId="5D1EFEFE" w14:textId="77777777" w:rsidTr="00DC6214">
        <w:trPr>
          <w:trHeight w:val="482"/>
          <w:jc w:val="center"/>
        </w:trPr>
        <w:tc>
          <w:tcPr>
            <w:tcW w:w="1129" w:type="dxa"/>
            <w:vAlign w:val="center"/>
          </w:tcPr>
          <w:p w14:paraId="4DDE123B" w14:textId="75CE5D40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</w:p>
        </w:tc>
        <w:tc>
          <w:tcPr>
            <w:tcW w:w="3943" w:type="dxa"/>
            <w:vAlign w:val="center"/>
          </w:tcPr>
          <w:p w14:paraId="5B6E4204" w14:textId="172B0876" w:rsidR="00DC6214" w:rsidRPr="00DC6214" w:rsidRDefault="00DC6214" w:rsidP="00DC6214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3</w:t>
            </w:r>
          </w:p>
        </w:tc>
        <w:tc>
          <w:tcPr>
            <w:tcW w:w="3944" w:type="dxa"/>
            <w:vAlign w:val="center"/>
          </w:tcPr>
          <w:p w14:paraId="2FE77277" w14:textId="2A9EB64C" w:rsidR="00DC6214" w:rsidRPr="00DC6214" w:rsidRDefault="00DC6214" w:rsidP="00DC6214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6</w:t>
            </w:r>
          </w:p>
        </w:tc>
      </w:tr>
      <w:tr w:rsidR="00DC6214" w:rsidRPr="00985C41" w14:paraId="02693FFD" w14:textId="77777777" w:rsidTr="00DC6214">
        <w:trPr>
          <w:trHeight w:val="482"/>
          <w:jc w:val="center"/>
        </w:trPr>
        <w:tc>
          <w:tcPr>
            <w:tcW w:w="1129" w:type="dxa"/>
            <w:vAlign w:val="center"/>
          </w:tcPr>
          <w:p w14:paraId="09294638" w14:textId="08C37B72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</w:t>
            </w:r>
          </w:p>
        </w:tc>
        <w:tc>
          <w:tcPr>
            <w:tcW w:w="3943" w:type="dxa"/>
            <w:vAlign w:val="center"/>
          </w:tcPr>
          <w:p w14:paraId="0F77940F" w14:textId="3E0DA266" w:rsidR="00DC6214" w:rsidRPr="00985C41" w:rsidRDefault="00DC6214" w:rsidP="00DC6214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3944" w:type="dxa"/>
            <w:vAlign w:val="center"/>
          </w:tcPr>
          <w:p w14:paraId="7977C263" w14:textId="0803BEDB" w:rsidR="00DC6214" w:rsidRPr="00DC6214" w:rsidRDefault="00DC6214" w:rsidP="00DC6214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10</w:t>
            </w:r>
          </w:p>
        </w:tc>
      </w:tr>
      <w:tr w:rsidR="00DC6214" w:rsidRPr="00985C41" w14:paraId="09791F9B" w14:textId="77777777" w:rsidTr="00DC6214">
        <w:trPr>
          <w:trHeight w:val="482"/>
          <w:jc w:val="center"/>
        </w:trPr>
        <w:tc>
          <w:tcPr>
            <w:tcW w:w="1129" w:type="dxa"/>
            <w:vAlign w:val="center"/>
          </w:tcPr>
          <w:p w14:paraId="1AC86F4E" w14:textId="5ADB41E7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</w:t>
            </w:r>
          </w:p>
        </w:tc>
        <w:tc>
          <w:tcPr>
            <w:tcW w:w="3943" w:type="dxa"/>
            <w:vAlign w:val="center"/>
          </w:tcPr>
          <w:p w14:paraId="1662C521" w14:textId="1A2F4A53" w:rsidR="00DC6214" w:rsidRPr="00985C41" w:rsidRDefault="00DC6214" w:rsidP="00DC6214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3944" w:type="dxa"/>
            <w:vAlign w:val="center"/>
          </w:tcPr>
          <w:p w14:paraId="66313989" w14:textId="1BF7E53A" w:rsidR="00DC6214" w:rsidRPr="00DC6214" w:rsidRDefault="00DC6214" w:rsidP="00DC6214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14</w:t>
            </w:r>
          </w:p>
        </w:tc>
      </w:tr>
    </w:tbl>
    <w:p w14:paraId="009519BC" w14:textId="77777777" w:rsidR="00DC6214" w:rsidRPr="00A51F19" w:rsidRDefault="00DC6214" w:rsidP="008C109F">
      <w:pPr>
        <w:pStyle w:val="RSCBasictext"/>
      </w:pPr>
    </w:p>
    <w:p w14:paraId="4D5DFDB3" w14:textId="3985BD9D" w:rsidR="008C109F" w:rsidRDefault="0017573D" w:rsidP="008C109F">
      <w:pPr>
        <w:pStyle w:val="RSCBasictext"/>
      </w:pPr>
      <w:r>
        <w:t xml:space="preserve">This explains </w:t>
      </w:r>
      <w:r w:rsidR="00E50D80">
        <w:t xml:space="preserve">aspects of the </w:t>
      </w:r>
      <w:r w:rsidR="00E50D80" w:rsidRPr="00DC6214">
        <w:rPr>
          <w:b/>
          <w:bCs/>
        </w:rPr>
        <w:t>periodic table</w:t>
      </w:r>
      <w:r w:rsidR="007B2541">
        <w:t xml:space="preserve"> – sodium is in the </w:t>
      </w:r>
      <w:r w:rsidR="007B2541" w:rsidRPr="00DC6214">
        <w:rPr>
          <w:b/>
          <w:bCs/>
        </w:rPr>
        <w:t>s-block</w:t>
      </w:r>
      <w:r w:rsidR="007B2541">
        <w:t xml:space="preserve">, </w:t>
      </w:r>
      <w:r w:rsidR="007B2541" w:rsidRPr="00D41CDF">
        <w:t>which</w:t>
      </w:r>
      <w:r w:rsidR="007B2541" w:rsidRPr="00DC6214">
        <w:t xml:space="preserve"> is two elements wide. </w:t>
      </w:r>
      <w:r w:rsidR="007B2541" w:rsidRPr="00D41CDF">
        <w:t>T</w:t>
      </w:r>
      <w:r w:rsidRPr="00D41CDF">
        <w:t>he</w:t>
      </w:r>
      <w:r>
        <w:t xml:space="preserve"> </w:t>
      </w:r>
      <w:r w:rsidRPr="00393C58">
        <w:rPr>
          <w:b/>
          <w:bCs/>
        </w:rPr>
        <w:t>p</w:t>
      </w:r>
      <w:r w:rsidR="00191F90">
        <w:rPr>
          <w:b/>
          <w:bCs/>
        </w:rPr>
        <w:t>-</w:t>
      </w:r>
      <w:r w:rsidRPr="00393C58">
        <w:rPr>
          <w:b/>
          <w:bCs/>
        </w:rPr>
        <w:t>block</w:t>
      </w:r>
      <w:r>
        <w:t xml:space="preserve"> </w:t>
      </w:r>
      <w:r w:rsidRPr="00D41CDF">
        <w:t xml:space="preserve">is </w:t>
      </w:r>
      <w:r w:rsidR="00A678B8" w:rsidRPr="00DC6214">
        <w:t>six</w:t>
      </w:r>
      <w:r w:rsidR="00D74BD1" w:rsidRPr="00DC6214">
        <w:t xml:space="preserve"> elements wide</w:t>
      </w:r>
      <w:r w:rsidR="00D74BD1">
        <w:t xml:space="preserve"> – these are all elements </w:t>
      </w:r>
      <w:r w:rsidR="002D0E3A">
        <w:t xml:space="preserve">with </w:t>
      </w:r>
      <w:r w:rsidR="00A678B8">
        <w:t xml:space="preserve">their </w:t>
      </w:r>
      <w:r w:rsidR="002D0E3A">
        <w:t xml:space="preserve">highest energy electrons in the </w:t>
      </w:r>
      <w:r w:rsidR="002D0E3A" w:rsidRPr="00DC6214">
        <w:rPr>
          <w:b/>
          <w:bCs/>
        </w:rPr>
        <w:t>p subshell</w:t>
      </w:r>
      <w:r w:rsidR="00A678B8">
        <w:t>.</w:t>
      </w:r>
    </w:p>
    <w:p w14:paraId="76AEC5B8" w14:textId="77777777" w:rsidR="00DC6214" w:rsidRDefault="00DC6214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6990FCD" w14:textId="1DBA32D0" w:rsidR="006A55CF" w:rsidRDefault="006A55CF" w:rsidP="008C109F">
      <w:pPr>
        <w:pStyle w:val="RSCBasictext"/>
      </w:pPr>
      <w:r>
        <w:lastRenderedPageBreak/>
        <w:t xml:space="preserve">As the </w:t>
      </w:r>
      <w:r w:rsidR="002379CE">
        <w:t>shell</w:t>
      </w:r>
      <w:r w:rsidR="00A678B8">
        <w:t>s</w:t>
      </w:r>
      <w:r w:rsidR="002379CE">
        <w:t xml:space="preserve"> increas</w:t>
      </w:r>
      <w:r w:rsidR="00A678B8">
        <w:t>e</w:t>
      </w:r>
      <w:r w:rsidR="002379CE">
        <w:t xml:space="preserve"> in energy</w:t>
      </w:r>
      <w:r w:rsidR="00A678B8">
        <w:t>,</w:t>
      </w:r>
      <w:r w:rsidR="002379CE">
        <w:t xml:space="preserve"> so the number of subshell</w:t>
      </w:r>
      <w:r w:rsidR="00A678B8">
        <w:t>s</w:t>
      </w:r>
      <w:r w:rsidR="002379CE">
        <w:t xml:space="preserve"> increases</w:t>
      </w:r>
      <w:r w:rsidR="002A51C0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943"/>
        <w:gridCol w:w="3944"/>
      </w:tblGrid>
      <w:tr w:rsidR="00DC6214" w:rsidRPr="00985C41" w14:paraId="0E76F889" w14:textId="77777777" w:rsidTr="002C46DA">
        <w:trPr>
          <w:trHeight w:val="482"/>
          <w:jc w:val="center"/>
        </w:trPr>
        <w:tc>
          <w:tcPr>
            <w:tcW w:w="1129" w:type="dxa"/>
            <w:shd w:val="clear" w:color="auto" w:fill="BFDDE8"/>
            <w:vAlign w:val="center"/>
          </w:tcPr>
          <w:p w14:paraId="3BA4EB69" w14:textId="24DB0F46" w:rsidR="00DC6214" w:rsidRPr="00D00AB5" w:rsidRDefault="00DC6214" w:rsidP="002C46DA">
            <w:pPr>
              <w:spacing w:before="58" w:after="58" w:line="259" w:lineRule="auto"/>
              <w:ind w:right="28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Shell</w:t>
            </w:r>
          </w:p>
        </w:tc>
        <w:tc>
          <w:tcPr>
            <w:tcW w:w="3943" w:type="dxa"/>
            <w:shd w:val="clear" w:color="auto" w:fill="BFDDE8"/>
            <w:vAlign w:val="center"/>
          </w:tcPr>
          <w:p w14:paraId="40E7FA9A" w14:textId="0FCECCB9" w:rsidR="00DC6214" w:rsidRPr="00D00AB5" w:rsidRDefault="00DC6214" w:rsidP="002C46DA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Subshells</w:t>
            </w:r>
          </w:p>
        </w:tc>
        <w:tc>
          <w:tcPr>
            <w:tcW w:w="3944" w:type="dxa"/>
            <w:shd w:val="clear" w:color="auto" w:fill="BFDDE8"/>
            <w:vAlign w:val="center"/>
          </w:tcPr>
          <w:p w14:paraId="1E85CF86" w14:textId="1CF9FECA" w:rsidR="00DC6214" w:rsidRPr="00D00AB5" w:rsidRDefault="00941EEB" w:rsidP="002C46DA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Number of electrons</w:t>
            </w:r>
          </w:p>
        </w:tc>
      </w:tr>
      <w:tr w:rsidR="00DC6214" w:rsidRPr="00985C41" w14:paraId="1F870071" w14:textId="77777777" w:rsidTr="002C46DA">
        <w:trPr>
          <w:trHeight w:val="482"/>
          <w:jc w:val="center"/>
        </w:trPr>
        <w:tc>
          <w:tcPr>
            <w:tcW w:w="1129" w:type="dxa"/>
            <w:vAlign w:val="center"/>
          </w:tcPr>
          <w:p w14:paraId="052963BC" w14:textId="4376C512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3943" w:type="dxa"/>
            <w:vAlign w:val="center"/>
          </w:tcPr>
          <w:p w14:paraId="1FE3CD1C" w14:textId="5BEF5471" w:rsidR="00DC6214" w:rsidRPr="00985C41" w:rsidRDefault="00941EEB" w:rsidP="002C46DA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</w:p>
        </w:tc>
        <w:tc>
          <w:tcPr>
            <w:tcW w:w="3944" w:type="dxa"/>
            <w:vAlign w:val="center"/>
          </w:tcPr>
          <w:p w14:paraId="01406C4A" w14:textId="77777777" w:rsidR="00DC6214" w:rsidRPr="00DC6214" w:rsidRDefault="00DC6214" w:rsidP="002C46DA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2</w:t>
            </w:r>
          </w:p>
        </w:tc>
      </w:tr>
      <w:tr w:rsidR="00DC6214" w:rsidRPr="00985C41" w14:paraId="5E358BE9" w14:textId="77777777" w:rsidTr="002C46DA">
        <w:trPr>
          <w:trHeight w:val="482"/>
          <w:jc w:val="center"/>
        </w:trPr>
        <w:tc>
          <w:tcPr>
            <w:tcW w:w="1129" w:type="dxa"/>
            <w:vAlign w:val="center"/>
          </w:tcPr>
          <w:p w14:paraId="1928B350" w14:textId="6040E62A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943" w:type="dxa"/>
            <w:vAlign w:val="center"/>
          </w:tcPr>
          <w:p w14:paraId="4973D53F" w14:textId="53CEF63A" w:rsidR="00DC6214" w:rsidRPr="00DC6214" w:rsidRDefault="00941EEB" w:rsidP="002C46DA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s, p</w:t>
            </w:r>
          </w:p>
        </w:tc>
        <w:tc>
          <w:tcPr>
            <w:tcW w:w="3944" w:type="dxa"/>
            <w:vAlign w:val="center"/>
          </w:tcPr>
          <w:p w14:paraId="7BC8B786" w14:textId="2257A04F" w:rsidR="00DC6214" w:rsidRPr="00DC6214" w:rsidRDefault="00941EEB" w:rsidP="002C46DA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</w:tr>
      <w:tr w:rsidR="00DC6214" w:rsidRPr="00985C41" w14:paraId="5B7EBE0E" w14:textId="77777777" w:rsidTr="002C46DA">
        <w:trPr>
          <w:trHeight w:val="482"/>
          <w:jc w:val="center"/>
        </w:trPr>
        <w:tc>
          <w:tcPr>
            <w:tcW w:w="1129" w:type="dxa"/>
            <w:vAlign w:val="center"/>
          </w:tcPr>
          <w:p w14:paraId="474549C7" w14:textId="5FD55149" w:rsidR="00DC6214" w:rsidRPr="00985C41" w:rsidRDefault="00DC6214" w:rsidP="002C46DA">
            <w:pPr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943" w:type="dxa"/>
            <w:vAlign w:val="center"/>
          </w:tcPr>
          <w:p w14:paraId="482C32DB" w14:textId="654FB4B6" w:rsidR="00DC6214" w:rsidRPr="00985C41" w:rsidRDefault="00941EEB" w:rsidP="002C46DA">
            <w:pPr>
              <w:tabs>
                <w:tab w:val="left" w:pos="1593"/>
              </w:tabs>
              <w:spacing w:line="259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s, p, d</w:t>
            </w:r>
          </w:p>
        </w:tc>
        <w:tc>
          <w:tcPr>
            <w:tcW w:w="3944" w:type="dxa"/>
            <w:vAlign w:val="center"/>
          </w:tcPr>
          <w:p w14:paraId="62A7D40C" w14:textId="216BBABE" w:rsidR="00DC6214" w:rsidRPr="00DC6214" w:rsidRDefault="00DC6214" w:rsidP="002C46DA">
            <w:pPr>
              <w:tabs>
                <w:tab w:val="left" w:pos="6128"/>
              </w:tabs>
              <w:spacing w:line="259" w:lineRule="auto"/>
              <w:ind w:right="283"/>
              <w:jc w:val="center"/>
              <w:rPr>
                <w:rFonts w:ascii="Century Gothic" w:hAnsi="Century Gothic"/>
              </w:rPr>
            </w:pPr>
            <w:r w:rsidRPr="00DC6214">
              <w:rPr>
                <w:rFonts w:ascii="Century Gothic" w:hAnsi="Century Gothic"/>
              </w:rPr>
              <w:t>1</w:t>
            </w:r>
            <w:r w:rsidR="00941EEB">
              <w:rPr>
                <w:rFonts w:ascii="Century Gothic" w:hAnsi="Century Gothic"/>
              </w:rPr>
              <w:t>8</w:t>
            </w:r>
          </w:p>
        </w:tc>
      </w:tr>
    </w:tbl>
    <w:p w14:paraId="0B3C097E" w14:textId="72AA311C" w:rsidR="00DC6214" w:rsidRDefault="00DC6214" w:rsidP="008C109F">
      <w:pPr>
        <w:pStyle w:val="RSCBasictext"/>
      </w:pPr>
    </w:p>
    <w:p w14:paraId="292B82D9" w14:textId="43D686F3" w:rsidR="00051D7E" w:rsidRPr="005C39AE" w:rsidRDefault="00E10D5B" w:rsidP="00311379">
      <w:pPr>
        <w:pStyle w:val="RSCBasictext"/>
      </w:pPr>
      <w:r>
        <w:t xml:space="preserve">This explains why </w:t>
      </w:r>
      <w:r w:rsidRPr="009C26B6">
        <w:t xml:space="preserve">the </w:t>
      </w:r>
      <w:r w:rsidRPr="00DC6214">
        <w:t>periodic table</w:t>
      </w:r>
      <w:r>
        <w:t xml:space="preserve"> gets wider </w:t>
      </w:r>
      <w:r w:rsidR="00393C58">
        <w:t>towards the bottom.</w:t>
      </w:r>
    </w:p>
    <w:sectPr w:rsidR="00051D7E" w:rsidRPr="005C39AE" w:rsidSect="00F2285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DF08" w14:textId="77777777" w:rsidR="008F50D5" w:rsidRDefault="008F50D5" w:rsidP="00C51F51">
      <w:r>
        <w:separator/>
      </w:r>
    </w:p>
  </w:endnote>
  <w:endnote w:type="continuationSeparator" w:id="0">
    <w:p w14:paraId="29977419" w14:textId="77777777" w:rsidR="008F50D5" w:rsidRDefault="008F50D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E697F9B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34378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6A71" w14:textId="77777777" w:rsidR="008F50D5" w:rsidRDefault="008F50D5" w:rsidP="00C51F51">
      <w:r>
        <w:separator/>
      </w:r>
    </w:p>
  </w:footnote>
  <w:footnote w:type="continuationSeparator" w:id="0">
    <w:p w14:paraId="3A0BD639" w14:textId="77777777" w:rsidR="008F50D5" w:rsidRDefault="008F50D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F8707FE" w:rsidR="003D4276" w:rsidRDefault="003305D3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6191" behindDoc="0" locked="0" layoutInCell="1" allowOverlap="1" wp14:anchorId="6B6BE617" wp14:editId="7C07B3D3">
          <wp:simplePos x="0" y="0"/>
          <wp:positionH relativeFrom="column">
            <wp:posOffset>-596900</wp:posOffset>
          </wp:positionH>
          <wp:positionV relativeFrom="page">
            <wp:posOffset>247650</wp:posOffset>
          </wp:positionV>
          <wp:extent cx="1938020" cy="5207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4276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378ECAD2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0A6A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3D4276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3D4276"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26D5EF66" w:rsidR="003D4276" w:rsidRPr="00A56431" w:rsidRDefault="00A27356" w:rsidP="00DC6214">
    <w:pPr>
      <w:pStyle w:val="RSCURL"/>
      <w:jc w:val="right"/>
    </w:pPr>
    <w:r>
      <w:rPr>
        <w:color w:val="000000" w:themeColor="text1"/>
      </w:rPr>
      <w:t>Available</w:t>
    </w:r>
    <w:r w:rsidR="003D4276">
      <w:rPr>
        <w:color w:val="000000" w:themeColor="text1"/>
      </w:rPr>
      <w:t xml:space="preserve"> from</w:t>
    </w:r>
    <w:r w:rsidR="00520A6A">
      <w:rPr>
        <w:color w:val="000000" w:themeColor="text1"/>
      </w:rPr>
      <w:t xml:space="preserve"> </w:t>
    </w:r>
    <w:hyperlink r:id="rId3" w:history="1">
      <w:r w:rsidR="002462BE" w:rsidRPr="002E2F74">
        <w:t>rsc.li/</w:t>
      </w:r>
      <w:r w:rsidR="002462BE">
        <w:t>3mi1eui</w:t>
      </w:r>
    </w:hyperlink>
    <w:r w:rsidR="002A16D9">
      <w:rPr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872">
    <w:abstractNumId w:val="0"/>
  </w:num>
  <w:num w:numId="2" w16cid:durableId="749421728">
    <w:abstractNumId w:val="4"/>
  </w:num>
  <w:num w:numId="3" w16cid:durableId="939026252">
    <w:abstractNumId w:val="9"/>
  </w:num>
  <w:num w:numId="4" w16cid:durableId="1444573029">
    <w:abstractNumId w:val="6"/>
  </w:num>
  <w:num w:numId="5" w16cid:durableId="109206190">
    <w:abstractNumId w:val="1"/>
  </w:num>
  <w:num w:numId="6" w16cid:durableId="821968132">
    <w:abstractNumId w:val="2"/>
  </w:num>
  <w:num w:numId="7" w16cid:durableId="1324427305">
    <w:abstractNumId w:val="2"/>
    <w:lvlOverride w:ilvl="0">
      <w:startOverride w:val="1"/>
    </w:lvlOverride>
  </w:num>
  <w:num w:numId="8" w16cid:durableId="1875925452">
    <w:abstractNumId w:val="5"/>
    <w:lvlOverride w:ilvl="0">
      <w:startOverride w:val="2"/>
    </w:lvlOverride>
  </w:num>
  <w:num w:numId="9" w16cid:durableId="610862974">
    <w:abstractNumId w:val="2"/>
    <w:lvlOverride w:ilvl="0">
      <w:startOverride w:val="1"/>
    </w:lvlOverride>
  </w:num>
  <w:num w:numId="10" w16cid:durableId="692650027">
    <w:abstractNumId w:val="3"/>
  </w:num>
  <w:num w:numId="11" w16cid:durableId="114298545">
    <w:abstractNumId w:val="3"/>
    <w:lvlOverride w:ilvl="0">
      <w:startOverride w:val="2"/>
    </w:lvlOverride>
  </w:num>
  <w:num w:numId="12" w16cid:durableId="523785215">
    <w:abstractNumId w:val="8"/>
  </w:num>
  <w:num w:numId="13" w16cid:durableId="412236989">
    <w:abstractNumId w:val="11"/>
  </w:num>
  <w:num w:numId="14" w16cid:durableId="1587377645">
    <w:abstractNumId w:val="3"/>
    <w:lvlOverride w:ilvl="0">
      <w:startOverride w:val="2"/>
    </w:lvlOverride>
  </w:num>
  <w:num w:numId="15" w16cid:durableId="1083452393">
    <w:abstractNumId w:val="2"/>
    <w:lvlOverride w:ilvl="0">
      <w:startOverride w:val="1"/>
    </w:lvlOverride>
  </w:num>
  <w:num w:numId="16" w16cid:durableId="1707365405">
    <w:abstractNumId w:val="3"/>
    <w:lvlOverride w:ilvl="0">
      <w:startOverride w:val="1"/>
    </w:lvlOverride>
  </w:num>
  <w:num w:numId="17" w16cid:durableId="829178666">
    <w:abstractNumId w:val="7"/>
  </w:num>
  <w:num w:numId="18" w16cid:durableId="1884516883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1D7E"/>
    <w:rsid w:val="00052523"/>
    <w:rsid w:val="00052F81"/>
    <w:rsid w:val="000548AA"/>
    <w:rsid w:val="000553A0"/>
    <w:rsid w:val="00062222"/>
    <w:rsid w:val="00062B33"/>
    <w:rsid w:val="00067498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1475"/>
    <w:rsid w:val="00091607"/>
    <w:rsid w:val="000953D5"/>
    <w:rsid w:val="00097228"/>
    <w:rsid w:val="000A031F"/>
    <w:rsid w:val="000A0564"/>
    <w:rsid w:val="000A162C"/>
    <w:rsid w:val="000A1C7A"/>
    <w:rsid w:val="000A324B"/>
    <w:rsid w:val="000A4743"/>
    <w:rsid w:val="000A6C0C"/>
    <w:rsid w:val="000B11A8"/>
    <w:rsid w:val="000B1952"/>
    <w:rsid w:val="000C0267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19BC"/>
    <w:rsid w:val="000E4BDA"/>
    <w:rsid w:val="000E6162"/>
    <w:rsid w:val="000E7559"/>
    <w:rsid w:val="000F1532"/>
    <w:rsid w:val="000F1C6E"/>
    <w:rsid w:val="000F2940"/>
    <w:rsid w:val="000F3994"/>
    <w:rsid w:val="000F3C7E"/>
    <w:rsid w:val="000F4A39"/>
    <w:rsid w:val="000F764A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39B0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C2C"/>
    <w:rsid w:val="00164B56"/>
    <w:rsid w:val="00170FA5"/>
    <w:rsid w:val="001714D0"/>
    <w:rsid w:val="0017573D"/>
    <w:rsid w:val="001806ED"/>
    <w:rsid w:val="00180DC4"/>
    <w:rsid w:val="001831DC"/>
    <w:rsid w:val="00184B61"/>
    <w:rsid w:val="00185427"/>
    <w:rsid w:val="00191F90"/>
    <w:rsid w:val="001968DC"/>
    <w:rsid w:val="00196EFF"/>
    <w:rsid w:val="001A251E"/>
    <w:rsid w:val="001A27D9"/>
    <w:rsid w:val="001A2AA4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4FCE"/>
    <w:rsid w:val="001C6470"/>
    <w:rsid w:val="001D12BD"/>
    <w:rsid w:val="001D26FD"/>
    <w:rsid w:val="001D57A7"/>
    <w:rsid w:val="001D7B9F"/>
    <w:rsid w:val="001E2B4D"/>
    <w:rsid w:val="001E2DA2"/>
    <w:rsid w:val="001F0451"/>
    <w:rsid w:val="001F1C5C"/>
    <w:rsid w:val="001F22D5"/>
    <w:rsid w:val="001F2C34"/>
    <w:rsid w:val="001F5394"/>
    <w:rsid w:val="001F73C1"/>
    <w:rsid w:val="00200439"/>
    <w:rsid w:val="0020188D"/>
    <w:rsid w:val="00202F49"/>
    <w:rsid w:val="00203039"/>
    <w:rsid w:val="00204957"/>
    <w:rsid w:val="00206355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D87"/>
    <w:rsid w:val="00227452"/>
    <w:rsid w:val="00227D80"/>
    <w:rsid w:val="002345A4"/>
    <w:rsid w:val="0023518B"/>
    <w:rsid w:val="00236050"/>
    <w:rsid w:val="00237895"/>
    <w:rsid w:val="002379CE"/>
    <w:rsid w:val="002401EA"/>
    <w:rsid w:val="00241B74"/>
    <w:rsid w:val="00242C8B"/>
    <w:rsid w:val="00242E6B"/>
    <w:rsid w:val="00243696"/>
    <w:rsid w:val="0024403F"/>
    <w:rsid w:val="00244B3D"/>
    <w:rsid w:val="002454E1"/>
    <w:rsid w:val="002462BE"/>
    <w:rsid w:val="002468BF"/>
    <w:rsid w:val="00246DA9"/>
    <w:rsid w:val="00247F5F"/>
    <w:rsid w:val="002510C3"/>
    <w:rsid w:val="0025661E"/>
    <w:rsid w:val="00264BAC"/>
    <w:rsid w:val="00267279"/>
    <w:rsid w:val="002716EA"/>
    <w:rsid w:val="002723D5"/>
    <w:rsid w:val="00276F81"/>
    <w:rsid w:val="00277F67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16D9"/>
    <w:rsid w:val="002A3B57"/>
    <w:rsid w:val="002A4174"/>
    <w:rsid w:val="002A4AD8"/>
    <w:rsid w:val="002A51C0"/>
    <w:rsid w:val="002A6B33"/>
    <w:rsid w:val="002A6FDE"/>
    <w:rsid w:val="002B22AE"/>
    <w:rsid w:val="002B28FD"/>
    <w:rsid w:val="002B4F41"/>
    <w:rsid w:val="002B5206"/>
    <w:rsid w:val="002B5EB5"/>
    <w:rsid w:val="002C0CFB"/>
    <w:rsid w:val="002C16FA"/>
    <w:rsid w:val="002C174E"/>
    <w:rsid w:val="002C396A"/>
    <w:rsid w:val="002C4D7C"/>
    <w:rsid w:val="002C5391"/>
    <w:rsid w:val="002C5ED2"/>
    <w:rsid w:val="002C6D90"/>
    <w:rsid w:val="002C762B"/>
    <w:rsid w:val="002D0E3A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0270"/>
    <w:rsid w:val="002F2F8F"/>
    <w:rsid w:val="002F57DD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1723D"/>
    <w:rsid w:val="00320E4D"/>
    <w:rsid w:val="00321169"/>
    <w:rsid w:val="003234B7"/>
    <w:rsid w:val="00324BA5"/>
    <w:rsid w:val="00325444"/>
    <w:rsid w:val="003305D3"/>
    <w:rsid w:val="003306A0"/>
    <w:rsid w:val="00330E9E"/>
    <w:rsid w:val="00331CCB"/>
    <w:rsid w:val="00331D3D"/>
    <w:rsid w:val="00334372"/>
    <w:rsid w:val="00334C46"/>
    <w:rsid w:val="0033529C"/>
    <w:rsid w:val="00336CB7"/>
    <w:rsid w:val="00337488"/>
    <w:rsid w:val="0034189A"/>
    <w:rsid w:val="003425E8"/>
    <w:rsid w:val="00342FEE"/>
    <w:rsid w:val="00343802"/>
    <w:rsid w:val="00344B7D"/>
    <w:rsid w:val="00344BB6"/>
    <w:rsid w:val="0034595D"/>
    <w:rsid w:val="00350232"/>
    <w:rsid w:val="00350B11"/>
    <w:rsid w:val="003533F8"/>
    <w:rsid w:val="00357166"/>
    <w:rsid w:val="00363C2F"/>
    <w:rsid w:val="003642B4"/>
    <w:rsid w:val="0036453C"/>
    <w:rsid w:val="00364D56"/>
    <w:rsid w:val="00367470"/>
    <w:rsid w:val="00367A2D"/>
    <w:rsid w:val="00367BB8"/>
    <w:rsid w:val="003735C8"/>
    <w:rsid w:val="00374B60"/>
    <w:rsid w:val="00376E7E"/>
    <w:rsid w:val="003811A9"/>
    <w:rsid w:val="00383B18"/>
    <w:rsid w:val="003845BF"/>
    <w:rsid w:val="0038553C"/>
    <w:rsid w:val="00385576"/>
    <w:rsid w:val="00392607"/>
    <w:rsid w:val="00393C58"/>
    <w:rsid w:val="0039430F"/>
    <w:rsid w:val="003946FE"/>
    <w:rsid w:val="00394A9D"/>
    <w:rsid w:val="00395AD5"/>
    <w:rsid w:val="00396469"/>
    <w:rsid w:val="00396481"/>
    <w:rsid w:val="003A1649"/>
    <w:rsid w:val="003A28A5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302A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8C"/>
    <w:rsid w:val="003F7EDE"/>
    <w:rsid w:val="004009B8"/>
    <w:rsid w:val="00402495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5DD1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1A34"/>
    <w:rsid w:val="00452D8D"/>
    <w:rsid w:val="0045569A"/>
    <w:rsid w:val="00461744"/>
    <w:rsid w:val="00462C62"/>
    <w:rsid w:val="004647DD"/>
    <w:rsid w:val="00464DEB"/>
    <w:rsid w:val="0046536D"/>
    <w:rsid w:val="00466E24"/>
    <w:rsid w:val="00470A3A"/>
    <w:rsid w:val="0047293A"/>
    <w:rsid w:val="00472E80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D70BB"/>
    <w:rsid w:val="004E1D97"/>
    <w:rsid w:val="004E283C"/>
    <w:rsid w:val="004E2D4A"/>
    <w:rsid w:val="004E35A4"/>
    <w:rsid w:val="004E372A"/>
    <w:rsid w:val="004E7DE0"/>
    <w:rsid w:val="004F1810"/>
    <w:rsid w:val="004F390A"/>
    <w:rsid w:val="004F5789"/>
    <w:rsid w:val="004F6690"/>
    <w:rsid w:val="005000BF"/>
    <w:rsid w:val="0050206B"/>
    <w:rsid w:val="005031DB"/>
    <w:rsid w:val="00512EF1"/>
    <w:rsid w:val="00514968"/>
    <w:rsid w:val="005153EA"/>
    <w:rsid w:val="00517ED5"/>
    <w:rsid w:val="00520A6A"/>
    <w:rsid w:val="00522B05"/>
    <w:rsid w:val="00530A17"/>
    <w:rsid w:val="00531945"/>
    <w:rsid w:val="00532651"/>
    <w:rsid w:val="005329C8"/>
    <w:rsid w:val="00533730"/>
    <w:rsid w:val="0053639C"/>
    <w:rsid w:val="0053797D"/>
    <w:rsid w:val="0054317B"/>
    <w:rsid w:val="00546756"/>
    <w:rsid w:val="005468E5"/>
    <w:rsid w:val="00551D55"/>
    <w:rsid w:val="00554FEE"/>
    <w:rsid w:val="00561167"/>
    <w:rsid w:val="00562C04"/>
    <w:rsid w:val="0056304F"/>
    <w:rsid w:val="0056464B"/>
    <w:rsid w:val="00566255"/>
    <w:rsid w:val="005674FE"/>
    <w:rsid w:val="00570A3E"/>
    <w:rsid w:val="00571F1F"/>
    <w:rsid w:val="00572D9B"/>
    <w:rsid w:val="005739C1"/>
    <w:rsid w:val="00573B4A"/>
    <w:rsid w:val="00575AF1"/>
    <w:rsid w:val="00575B76"/>
    <w:rsid w:val="0057713C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B74DA"/>
    <w:rsid w:val="005C22B9"/>
    <w:rsid w:val="005C39AE"/>
    <w:rsid w:val="005C703B"/>
    <w:rsid w:val="005D0DB0"/>
    <w:rsid w:val="005D14BE"/>
    <w:rsid w:val="005D1E00"/>
    <w:rsid w:val="005D69D4"/>
    <w:rsid w:val="005D6A71"/>
    <w:rsid w:val="005E0657"/>
    <w:rsid w:val="005E3A99"/>
    <w:rsid w:val="005F39DD"/>
    <w:rsid w:val="005F6D0F"/>
    <w:rsid w:val="00601146"/>
    <w:rsid w:val="006056F3"/>
    <w:rsid w:val="00605A7F"/>
    <w:rsid w:val="006078DB"/>
    <w:rsid w:val="00611397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477BB"/>
    <w:rsid w:val="006526B0"/>
    <w:rsid w:val="00656322"/>
    <w:rsid w:val="00656A25"/>
    <w:rsid w:val="00656C0A"/>
    <w:rsid w:val="006607E4"/>
    <w:rsid w:val="00661379"/>
    <w:rsid w:val="00661696"/>
    <w:rsid w:val="00661B49"/>
    <w:rsid w:val="00664447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4E25"/>
    <w:rsid w:val="00695FCE"/>
    <w:rsid w:val="0069630C"/>
    <w:rsid w:val="006A41DB"/>
    <w:rsid w:val="006A421A"/>
    <w:rsid w:val="006A45EA"/>
    <w:rsid w:val="006A52AF"/>
    <w:rsid w:val="006A55C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0F33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30D"/>
    <w:rsid w:val="0072147E"/>
    <w:rsid w:val="007223CF"/>
    <w:rsid w:val="00722F2C"/>
    <w:rsid w:val="00723122"/>
    <w:rsid w:val="007337AE"/>
    <w:rsid w:val="00736435"/>
    <w:rsid w:val="00737567"/>
    <w:rsid w:val="00737A16"/>
    <w:rsid w:val="00741E15"/>
    <w:rsid w:val="00742794"/>
    <w:rsid w:val="00742E84"/>
    <w:rsid w:val="0075000A"/>
    <w:rsid w:val="00751C1F"/>
    <w:rsid w:val="00752CBB"/>
    <w:rsid w:val="00753940"/>
    <w:rsid w:val="00754A45"/>
    <w:rsid w:val="007560CE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2541"/>
    <w:rsid w:val="007B34C5"/>
    <w:rsid w:val="007B6138"/>
    <w:rsid w:val="007C0783"/>
    <w:rsid w:val="007C0B91"/>
    <w:rsid w:val="007C2310"/>
    <w:rsid w:val="007C55A5"/>
    <w:rsid w:val="007C6931"/>
    <w:rsid w:val="007D0F4E"/>
    <w:rsid w:val="007D1674"/>
    <w:rsid w:val="007D1806"/>
    <w:rsid w:val="007D19C1"/>
    <w:rsid w:val="007D1DE2"/>
    <w:rsid w:val="007D2B41"/>
    <w:rsid w:val="007D3761"/>
    <w:rsid w:val="007D6153"/>
    <w:rsid w:val="007E01AA"/>
    <w:rsid w:val="007E109C"/>
    <w:rsid w:val="007E1DEC"/>
    <w:rsid w:val="007E35D3"/>
    <w:rsid w:val="007E3756"/>
    <w:rsid w:val="007E3D38"/>
    <w:rsid w:val="007F374B"/>
    <w:rsid w:val="007F4099"/>
    <w:rsid w:val="007F76F2"/>
    <w:rsid w:val="00802588"/>
    <w:rsid w:val="00806C05"/>
    <w:rsid w:val="00810732"/>
    <w:rsid w:val="00812B52"/>
    <w:rsid w:val="008145E1"/>
    <w:rsid w:val="0081506D"/>
    <w:rsid w:val="0081598F"/>
    <w:rsid w:val="00822C62"/>
    <w:rsid w:val="00823831"/>
    <w:rsid w:val="00827AA1"/>
    <w:rsid w:val="00827C7D"/>
    <w:rsid w:val="00831056"/>
    <w:rsid w:val="0083123F"/>
    <w:rsid w:val="00834378"/>
    <w:rsid w:val="00834B9F"/>
    <w:rsid w:val="00834BCA"/>
    <w:rsid w:val="00835799"/>
    <w:rsid w:val="008359CE"/>
    <w:rsid w:val="00837431"/>
    <w:rsid w:val="0084146F"/>
    <w:rsid w:val="00841525"/>
    <w:rsid w:val="008441AD"/>
    <w:rsid w:val="00844518"/>
    <w:rsid w:val="00846A02"/>
    <w:rsid w:val="0086179C"/>
    <w:rsid w:val="008618F3"/>
    <w:rsid w:val="0086417A"/>
    <w:rsid w:val="0086581C"/>
    <w:rsid w:val="00872501"/>
    <w:rsid w:val="00872E43"/>
    <w:rsid w:val="00873024"/>
    <w:rsid w:val="00873625"/>
    <w:rsid w:val="00881419"/>
    <w:rsid w:val="00882CA3"/>
    <w:rsid w:val="00883973"/>
    <w:rsid w:val="00883B5D"/>
    <w:rsid w:val="00884C77"/>
    <w:rsid w:val="00887802"/>
    <w:rsid w:val="008940CB"/>
    <w:rsid w:val="008960EA"/>
    <w:rsid w:val="008969E1"/>
    <w:rsid w:val="008A626D"/>
    <w:rsid w:val="008A6BC0"/>
    <w:rsid w:val="008A702D"/>
    <w:rsid w:val="008B0123"/>
    <w:rsid w:val="008B01BB"/>
    <w:rsid w:val="008B3C2D"/>
    <w:rsid w:val="008B4593"/>
    <w:rsid w:val="008B62E8"/>
    <w:rsid w:val="008B6EC7"/>
    <w:rsid w:val="008B72CB"/>
    <w:rsid w:val="008C109F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0D5"/>
    <w:rsid w:val="008F5CAF"/>
    <w:rsid w:val="008F5E94"/>
    <w:rsid w:val="009005E2"/>
    <w:rsid w:val="00905485"/>
    <w:rsid w:val="009069C6"/>
    <w:rsid w:val="00907671"/>
    <w:rsid w:val="00907BE0"/>
    <w:rsid w:val="00911E97"/>
    <w:rsid w:val="009159E7"/>
    <w:rsid w:val="00916660"/>
    <w:rsid w:val="00916DC6"/>
    <w:rsid w:val="00922487"/>
    <w:rsid w:val="0092281C"/>
    <w:rsid w:val="00923149"/>
    <w:rsid w:val="00923E17"/>
    <w:rsid w:val="009240AA"/>
    <w:rsid w:val="0092772E"/>
    <w:rsid w:val="0093131C"/>
    <w:rsid w:val="00931D7A"/>
    <w:rsid w:val="00933473"/>
    <w:rsid w:val="009341E3"/>
    <w:rsid w:val="00934CCA"/>
    <w:rsid w:val="00935573"/>
    <w:rsid w:val="00937527"/>
    <w:rsid w:val="0094079E"/>
    <w:rsid w:val="00941EEB"/>
    <w:rsid w:val="0094267A"/>
    <w:rsid w:val="00945365"/>
    <w:rsid w:val="00950B44"/>
    <w:rsid w:val="00957167"/>
    <w:rsid w:val="00957209"/>
    <w:rsid w:val="009602A8"/>
    <w:rsid w:val="009611E6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978E5"/>
    <w:rsid w:val="009A0229"/>
    <w:rsid w:val="009A1CE9"/>
    <w:rsid w:val="009A342C"/>
    <w:rsid w:val="009A5CFE"/>
    <w:rsid w:val="009B1035"/>
    <w:rsid w:val="009B1586"/>
    <w:rsid w:val="009B5DA1"/>
    <w:rsid w:val="009C1359"/>
    <w:rsid w:val="009C26B6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9F6B97"/>
    <w:rsid w:val="00A03436"/>
    <w:rsid w:val="00A03ADA"/>
    <w:rsid w:val="00A0567D"/>
    <w:rsid w:val="00A06224"/>
    <w:rsid w:val="00A07680"/>
    <w:rsid w:val="00A125D9"/>
    <w:rsid w:val="00A14B0B"/>
    <w:rsid w:val="00A15071"/>
    <w:rsid w:val="00A161BC"/>
    <w:rsid w:val="00A16B12"/>
    <w:rsid w:val="00A222AD"/>
    <w:rsid w:val="00A22662"/>
    <w:rsid w:val="00A22837"/>
    <w:rsid w:val="00A23421"/>
    <w:rsid w:val="00A26DD8"/>
    <w:rsid w:val="00A27356"/>
    <w:rsid w:val="00A27D64"/>
    <w:rsid w:val="00A27EF7"/>
    <w:rsid w:val="00A313DA"/>
    <w:rsid w:val="00A31E3F"/>
    <w:rsid w:val="00A33366"/>
    <w:rsid w:val="00A356F4"/>
    <w:rsid w:val="00A413CF"/>
    <w:rsid w:val="00A429D0"/>
    <w:rsid w:val="00A4551D"/>
    <w:rsid w:val="00A4560F"/>
    <w:rsid w:val="00A51F19"/>
    <w:rsid w:val="00A52872"/>
    <w:rsid w:val="00A52FD2"/>
    <w:rsid w:val="00A54153"/>
    <w:rsid w:val="00A56431"/>
    <w:rsid w:val="00A565EE"/>
    <w:rsid w:val="00A56E37"/>
    <w:rsid w:val="00A61142"/>
    <w:rsid w:val="00A61887"/>
    <w:rsid w:val="00A61936"/>
    <w:rsid w:val="00A64FFF"/>
    <w:rsid w:val="00A678B8"/>
    <w:rsid w:val="00A67E05"/>
    <w:rsid w:val="00A72D0D"/>
    <w:rsid w:val="00A76F72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1DE8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AF5AB7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5AA1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439A"/>
    <w:rsid w:val="00B4519D"/>
    <w:rsid w:val="00B46E49"/>
    <w:rsid w:val="00B54D26"/>
    <w:rsid w:val="00B572D8"/>
    <w:rsid w:val="00B65C61"/>
    <w:rsid w:val="00B66CAF"/>
    <w:rsid w:val="00B66E80"/>
    <w:rsid w:val="00B66EDF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4B08"/>
    <w:rsid w:val="00BA72E3"/>
    <w:rsid w:val="00BB2A22"/>
    <w:rsid w:val="00BB32CC"/>
    <w:rsid w:val="00BB5AE5"/>
    <w:rsid w:val="00BC134A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2362"/>
    <w:rsid w:val="00BE3757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47AD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C1A87"/>
    <w:rsid w:val="00CC4195"/>
    <w:rsid w:val="00CC5C5F"/>
    <w:rsid w:val="00CC61AC"/>
    <w:rsid w:val="00CD2F1B"/>
    <w:rsid w:val="00CD426D"/>
    <w:rsid w:val="00CD4375"/>
    <w:rsid w:val="00CD5DAF"/>
    <w:rsid w:val="00CE0E23"/>
    <w:rsid w:val="00CE475E"/>
    <w:rsid w:val="00CE79DE"/>
    <w:rsid w:val="00CF0F9A"/>
    <w:rsid w:val="00CF1D2C"/>
    <w:rsid w:val="00CF2277"/>
    <w:rsid w:val="00CF3377"/>
    <w:rsid w:val="00CF560A"/>
    <w:rsid w:val="00CF6B40"/>
    <w:rsid w:val="00D010A9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40C68"/>
    <w:rsid w:val="00D41CDF"/>
    <w:rsid w:val="00D41DF1"/>
    <w:rsid w:val="00D46F59"/>
    <w:rsid w:val="00D470EA"/>
    <w:rsid w:val="00D5133A"/>
    <w:rsid w:val="00D537DB"/>
    <w:rsid w:val="00D544AF"/>
    <w:rsid w:val="00D54DC2"/>
    <w:rsid w:val="00D56520"/>
    <w:rsid w:val="00D634AE"/>
    <w:rsid w:val="00D7317E"/>
    <w:rsid w:val="00D74BD1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214"/>
    <w:rsid w:val="00DC6C6B"/>
    <w:rsid w:val="00DC79B4"/>
    <w:rsid w:val="00DC7E1E"/>
    <w:rsid w:val="00DD3026"/>
    <w:rsid w:val="00DD3A79"/>
    <w:rsid w:val="00DD3AB3"/>
    <w:rsid w:val="00DD4B32"/>
    <w:rsid w:val="00DD638A"/>
    <w:rsid w:val="00DE08BF"/>
    <w:rsid w:val="00DE5BE6"/>
    <w:rsid w:val="00DF1B6E"/>
    <w:rsid w:val="00DF4D09"/>
    <w:rsid w:val="00DF5545"/>
    <w:rsid w:val="00DF5D59"/>
    <w:rsid w:val="00E02057"/>
    <w:rsid w:val="00E03659"/>
    <w:rsid w:val="00E04231"/>
    <w:rsid w:val="00E06494"/>
    <w:rsid w:val="00E100EC"/>
    <w:rsid w:val="00E10D5B"/>
    <w:rsid w:val="00E13686"/>
    <w:rsid w:val="00E17AC1"/>
    <w:rsid w:val="00E2490B"/>
    <w:rsid w:val="00E25B03"/>
    <w:rsid w:val="00E33F25"/>
    <w:rsid w:val="00E36242"/>
    <w:rsid w:val="00E368F5"/>
    <w:rsid w:val="00E373D4"/>
    <w:rsid w:val="00E409BE"/>
    <w:rsid w:val="00E42DB3"/>
    <w:rsid w:val="00E454BB"/>
    <w:rsid w:val="00E46853"/>
    <w:rsid w:val="00E47BD0"/>
    <w:rsid w:val="00E47E4D"/>
    <w:rsid w:val="00E50A8B"/>
    <w:rsid w:val="00E50D80"/>
    <w:rsid w:val="00E51E7E"/>
    <w:rsid w:val="00E55B82"/>
    <w:rsid w:val="00E56065"/>
    <w:rsid w:val="00E60944"/>
    <w:rsid w:val="00E66920"/>
    <w:rsid w:val="00E66F06"/>
    <w:rsid w:val="00E6742A"/>
    <w:rsid w:val="00E70888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047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D8F"/>
    <w:rsid w:val="00ED0906"/>
    <w:rsid w:val="00ED24AD"/>
    <w:rsid w:val="00ED280A"/>
    <w:rsid w:val="00ED3C6B"/>
    <w:rsid w:val="00ED5EEE"/>
    <w:rsid w:val="00ED7B5C"/>
    <w:rsid w:val="00EE1FEE"/>
    <w:rsid w:val="00EE57F5"/>
    <w:rsid w:val="00EE7279"/>
    <w:rsid w:val="00EF036B"/>
    <w:rsid w:val="00EF067C"/>
    <w:rsid w:val="00EF1DB2"/>
    <w:rsid w:val="00EF3A02"/>
    <w:rsid w:val="00EF7364"/>
    <w:rsid w:val="00F0081E"/>
    <w:rsid w:val="00F00B0D"/>
    <w:rsid w:val="00F023F4"/>
    <w:rsid w:val="00F0720C"/>
    <w:rsid w:val="00F1032B"/>
    <w:rsid w:val="00F10C80"/>
    <w:rsid w:val="00F21826"/>
    <w:rsid w:val="00F22856"/>
    <w:rsid w:val="00F2296C"/>
    <w:rsid w:val="00F23DF1"/>
    <w:rsid w:val="00F30A9F"/>
    <w:rsid w:val="00F31BB0"/>
    <w:rsid w:val="00F37F93"/>
    <w:rsid w:val="00F47644"/>
    <w:rsid w:val="00F51039"/>
    <w:rsid w:val="00F513AE"/>
    <w:rsid w:val="00F527E6"/>
    <w:rsid w:val="00F53191"/>
    <w:rsid w:val="00F53633"/>
    <w:rsid w:val="00F53EE2"/>
    <w:rsid w:val="00F56DAA"/>
    <w:rsid w:val="00F56FED"/>
    <w:rsid w:val="00F57BC7"/>
    <w:rsid w:val="00F60F8A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5B02"/>
    <w:rsid w:val="00F96EF2"/>
    <w:rsid w:val="00FA2BF4"/>
    <w:rsid w:val="00FA4F11"/>
    <w:rsid w:val="00FA5D3D"/>
    <w:rsid w:val="00FA6481"/>
    <w:rsid w:val="00FB0B16"/>
    <w:rsid w:val="00FB1014"/>
    <w:rsid w:val="00FB206F"/>
    <w:rsid w:val="00FC35E6"/>
    <w:rsid w:val="00FC3BCC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6050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c4a1134a-ec95-48d0-8411-392686591e19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9c5b8cb-8b3b-4b00-8e13-e0891dd65cf1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22</TotalTime>
  <Pages>2</Pages>
  <Words>394</Words>
  <Characters>1925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 configuration fact sheet</vt:lpstr>
    </vt:vector>
  </TitlesOfParts>
  <Manager/>
  <Company>Royal Society of Chemistry</Company>
  <LinksUpToDate>false</LinksUpToDate>
  <CharactersWithSpaces>2275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 configuration fact sheet</dc:title>
  <dc:subject/>
  <dc:creator>Royal Society Of Chemistry</dc:creator>
  <cp:keywords>electron configuration, subshells, orbitals, structure of the atom</cp:keywords>
  <dc:description>From Electron configurations, Education in Chemistry, https://rsc.li/3mi1eui</dc:description>
  <cp:lastModifiedBy>Kirsty Patterson</cp:lastModifiedBy>
  <cp:revision>5</cp:revision>
  <cp:lastPrinted>2012-04-18T08:40:00Z</cp:lastPrinted>
  <dcterms:created xsi:type="dcterms:W3CDTF">2023-03-03T10:39:00Z</dcterms:created>
  <dcterms:modified xsi:type="dcterms:W3CDTF">2023-03-03T11:08:00Z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