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48CD" w14:textId="3A2141FD" w:rsidR="005F286E" w:rsidRPr="003B7300" w:rsidRDefault="0063062B" w:rsidP="00CF6E3E">
      <w:pPr>
        <w:pStyle w:val="RSCH1"/>
        <w:rPr>
          <w:color w:val="991E66"/>
        </w:rPr>
      </w:pPr>
      <w:r>
        <w:rPr>
          <w:color w:val="991E66"/>
        </w:rPr>
        <w:t>Out of the blue</w:t>
      </w:r>
    </w:p>
    <w:p w14:paraId="665E0536" w14:textId="32365525" w:rsidR="001A278F" w:rsidRPr="000878DA" w:rsidRDefault="00905E09" w:rsidP="000878DA">
      <w:pPr>
        <w:shd w:val="clear" w:color="auto" w:fill="FFFFFF"/>
        <w:jc w:val="left"/>
        <w:rPr>
          <w:rStyle w:val="Hyperlink"/>
          <w:rFonts w:ascii="Century Gothic" w:eastAsia="Calibri" w:hAnsi="Century Gothic" w:cs="Calibri"/>
          <w:b/>
          <w:color w:val="222222"/>
          <w:sz w:val="22"/>
          <w:szCs w:val="22"/>
          <w:u w:val="none"/>
          <w:lang w:eastAsia="en-GB"/>
        </w:rPr>
      </w:pPr>
      <w:bookmarkStart w:id="0" w:name="_Hlk133917238"/>
      <w:r w:rsidRPr="000878DA">
        <w:rPr>
          <w:rFonts w:ascii="Century Gothic" w:hAnsi="Century Gothic"/>
          <w:sz w:val="22"/>
          <w:szCs w:val="22"/>
          <w:lang w:eastAsia="en-GB"/>
        </w:rPr>
        <w:t>Th</w:t>
      </w:r>
      <w:r w:rsidR="00104CB2">
        <w:rPr>
          <w:rFonts w:ascii="Century Gothic" w:hAnsi="Century Gothic"/>
          <w:sz w:val="22"/>
          <w:szCs w:val="22"/>
          <w:lang w:eastAsia="en-GB"/>
        </w:rPr>
        <w:t>ese notes</w:t>
      </w:r>
      <w:r w:rsidRPr="000878DA">
        <w:rPr>
          <w:rFonts w:ascii="Century Gothic" w:hAnsi="Century Gothic"/>
          <w:sz w:val="22"/>
          <w:szCs w:val="22"/>
          <w:lang w:eastAsia="en-GB"/>
        </w:rPr>
        <w:t xml:space="preserve"> </w:t>
      </w:r>
      <w:r w:rsidR="00104CB2">
        <w:rPr>
          <w:rFonts w:ascii="Century Gothic" w:hAnsi="Century Gothic"/>
          <w:sz w:val="22"/>
          <w:szCs w:val="22"/>
          <w:lang w:eastAsia="en-GB"/>
        </w:rPr>
        <w:t>accompany</w:t>
      </w:r>
      <w:r w:rsidR="001A278F" w:rsidRPr="000878DA">
        <w:rPr>
          <w:rFonts w:ascii="Century Gothic" w:hAnsi="Century Gothic"/>
          <w:sz w:val="22"/>
          <w:szCs w:val="22"/>
          <w:lang w:eastAsia="en-GB"/>
        </w:rPr>
        <w:t xml:space="preserve"> the </w:t>
      </w:r>
      <w:r w:rsidR="00104CB2">
        <w:rPr>
          <w:rFonts w:ascii="Century Gothic" w:hAnsi="Century Gothic"/>
          <w:sz w:val="22"/>
          <w:szCs w:val="22"/>
          <w:lang w:eastAsia="en-GB"/>
        </w:rPr>
        <w:t>video demonstration</w:t>
      </w:r>
      <w:r w:rsidR="001A278F" w:rsidRPr="000878DA">
        <w:rPr>
          <w:rFonts w:ascii="Century Gothic" w:hAnsi="Century Gothic"/>
          <w:sz w:val="22"/>
          <w:szCs w:val="22"/>
          <w:lang w:eastAsia="en-GB"/>
        </w:rPr>
        <w:t xml:space="preserve"> </w:t>
      </w:r>
      <w:r w:rsidR="0063062B">
        <w:rPr>
          <w:rFonts w:ascii="Century Gothic" w:eastAsia="Calibri" w:hAnsi="Century Gothic" w:cs="Calibri"/>
          <w:b/>
          <w:color w:val="222222"/>
          <w:sz w:val="22"/>
          <w:szCs w:val="22"/>
        </w:rPr>
        <w:t>Out of the blue</w:t>
      </w:r>
      <w:r w:rsidR="00104CB2">
        <w:rPr>
          <w:rFonts w:ascii="Century Gothic" w:eastAsia="Calibri" w:hAnsi="Century Gothic" w:cs="Calibri"/>
          <w:b/>
          <w:color w:val="222222"/>
          <w:sz w:val="22"/>
          <w:szCs w:val="22"/>
        </w:rPr>
        <w:t xml:space="preserve"> </w:t>
      </w:r>
      <w:r w:rsidR="00104CB2">
        <w:rPr>
          <w:rFonts w:ascii="Century Gothic" w:hAnsi="Century Gothic"/>
          <w:sz w:val="22"/>
          <w:szCs w:val="22"/>
          <w:lang w:eastAsia="en-GB"/>
        </w:rPr>
        <w:t>from</w:t>
      </w:r>
      <w:r w:rsidR="001A278F" w:rsidRPr="000878DA">
        <w:rPr>
          <w:rFonts w:ascii="Century Gothic" w:hAnsi="Century Gothic"/>
          <w:sz w:val="22"/>
          <w:szCs w:val="22"/>
          <w:lang w:eastAsia="en-GB"/>
        </w:rPr>
        <w:t xml:space="preserve"> </w:t>
      </w:r>
      <w:r w:rsidR="001A278F" w:rsidRPr="000878DA">
        <w:rPr>
          <w:rFonts w:ascii="Century Gothic" w:hAnsi="Century Gothic"/>
          <w:i/>
          <w:iCs/>
          <w:sz w:val="22"/>
          <w:szCs w:val="22"/>
          <w:lang w:eastAsia="en-GB"/>
        </w:rPr>
        <w:t>Education in Chemistry</w:t>
      </w:r>
      <w:r w:rsidR="001A278F" w:rsidRPr="000878DA">
        <w:rPr>
          <w:rFonts w:ascii="Century Gothic" w:hAnsi="Century Gothic"/>
          <w:sz w:val="22"/>
          <w:szCs w:val="22"/>
          <w:lang w:eastAsia="en-GB"/>
        </w:rPr>
        <w:t xml:space="preserve"> which can be viewed at: </w:t>
      </w:r>
      <w:hyperlink r:id="rId8" w:history="1">
        <w:r w:rsidR="000F33CC" w:rsidRPr="008A39BB">
          <w:rPr>
            <w:rStyle w:val="Hyperlink"/>
            <w:rFonts w:ascii="Century Gothic" w:hAnsi="Century Gothic"/>
            <w:sz w:val="22"/>
            <w:szCs w:val="22"/>
            <w:lang w:eastAsia="en-GB"/>
          </w:rPr>
          <w:t>https://rsc.li/3FkGYi6/</w:t>
        </w:r>
      </w:hyperlink>
    </w:p>
    <w:p w14:paraId="3303586B" w14:textId="77777777" w:rsidR="0063062B" w:rsidRDefault="0063062B" w:rsidP="000A64AD">
      <w:pPr>
        <w:pStyle w:val="RSCH2"/>
        <w:spacing w:before="0"/>
        <w:rPr>
          <w:b w:val="0"/>
          <w:bCs w:val="0"/>
          <w:color w:val="auto"/>
          <w:sz w:val="22"/>
          <w:lang w:eastAsia="en-GB"/>
        </w:rPr>
      </w:pPr>
      <w:r w:rsidRPr="0063062B">
        <w:rPr>
          <w:b w:val="0"/>
          <w:bCs w:val="0"/>
          <w:color w:val="auto"/>
          <w:sz w:val="22"/>
          <w:lang w:eastAsia="en-GB"/>
        </w:rPr>
        <w:t>The same chemistry that drives the famed cobalt traffic light and the pink catalyst reaction also drives another colour-changing reaction – the blue and gold reaction. This reaction is an excellent introduction to reversible reactions because of the repeated rapid switches between shades of blue, green, yellow and red, with accompanying fizzing and precipitation.</w:t>
      </w:r>
      <w:r w:rsidRPr="0063062B">
        <w:rPr>
          <w:b w:val="0"/>
          <w:bCs w:val="0"/>
          <w:color w:val="auto"/>
          <w:sz w:val="22"/>
          <w:lang w:eastAsia="en-GB"/>
        </w:rPr>
        <w:t xml:space="preserve"> </w:t>
      </w:r>
    </w:p>
    <w:p w14:paraId="3D4CC486" w14:textId="33007132" w:rsidR="0009292F" w:rsidRDefault="00446F05" w:rsidP="00104CB2">
      <w:pPr>
        <w:pStyle w:val="RSCH2"/>
        <w:rPr>
          <w:color w:val="8E1055"/>
          <w:lang w:eastAsia="en-GB"/>
        </w:rPr>
      </w:pPr>
      <w:r>
        <w:rPr>
          <w:color w:val="8E1055"/>
          <w:lang w:eastAsia="en-GB"/>
        </w:rPr>
        <w:t>L</w:t>
      </w:r>
      <w:r w:rsidR="0009292F">
        <w:rPr>
          <w:color w:val="8E1055"/>
          <w:lang w:eastAsia="en-GB"/>
        </w:rPr>
        <w:t>evel</w:t>
      </w:r>
    </w:p>
    <w:p w14:paraId="62B00222" w14:textId="2D8654E9" w:rsidR="0009292F" w:rsidRDefault="00446F05" w:rsidP="0009292F">
      <w:pPr>
        <w:pStyle w:val="RSC2-columntabs"/>
        <w:rPr>
          <w:lang w:eastAsia="en-GB"/>
        </w:rPr>
      </w:pPr>
      <w:r>
        <w:rPr>
          <w:lang w:eastAsia="en-GB"/>
        </w:rPr>
        <w:t xml:space="preserve">This demonstration is ideally suited to lessons on </w:t>
      </w:r>
      <w:r w:rsidR="00CA04FD">
        <w:rPr>
          <w:lang w:eastAsia="en-GB"/>
        </w:rPr>
        <w:t xml:space="preserve">reversible reactions and/or transition metal chemistry </w:t>
      </w:r>
      <w:r>
        <w:rPr>
          <w:lang w:eastAsia="en-GB"/>
        </w:rPr>
        <w:t>for learners</w:t>
      </w:r>
      <w:r w:rsidR="0009292F">
        <w:rPr>
          <w:lang w:eastAsia="en-GB"/>
        </w:rPr>
        <w:t xml:space="preserve"> aged 14–16</w:t>
      </w:r>
      <w:r>
        <w:rPr>
          <w:lang w:eastAsia="en-GB"/>
        </w:rPr>
        <w:t>.</w:t>
      </w:r>
      <w:r w:rsidR="0009292F">
        <w:rPr>
          <w:lang w:eastAsia="en-GB"/>
        </w:rPr>
        <w:t xml:space="preserve"> </w:t>
      </w:r>
    </w:p>
    <w:p w14:paraId="4449B9EA" w14:textId="45B6AEAF" w:rsidR="00104CB2" w:rsidRDefault="00104CB2" w:rsidP="00104CB2">
      <w:pPr>
        <w:pStyle w:val="RSCH2"/>
        <w:rPr>
          <w:color w:val="8E1055"/>
          <w:lang w:eastAsia="en-GB"/>
        </w:rPr>
      </w:pPr>
      <w:r w:rsidRPr="00104CB2">
        <w:rPr>
          <w:color w:val="8E1055"/>
          <w:lang w:eastAsia="en-GB"/>
        </w:rPr>
        <w:t>Equipment</w:t>
      </w:r>
    </w:p>
    <w:p w14:paraId="4749131D" w14:textId="77777777" w:rsidR="0063062B" w:rsidRDefault="0063062B" w:rsidP="00307510">
      <w:pPr>
        <w:pStyle w:val="RSCBulletedlist"/>
        <w:numPr>
          <w:ilvl w:val="0"/>
          <w:numId w:val="22"/>
        </w:numPr>
        <w:spacing w:line="256" w:lineRule="auto"/>
        <w:rPr>
          <w:lang w:eastAsia="en-GB"/>
        </w:rPr>
      </w:pPr>
      <w:r w:rsidRPr="0063062B">
        <w:rPr>
          <w:lang w:eastAsia="en-GB"/>
        </w:rPr>
        <w:t>30 cm</w:t>
      </w:r>
      <w:r w:rsidRPr="0063062B">
        <w:rPr>
          <w:vertAlign w:val="superscript"/>
          <w:lang w:eastAsia="en-GB"/>
        </w:rPr>
        <w:t>3</w:t>
      </w:r>
      <w:r w:rsidRPr="0063062B">
        <w:rPr>
          <w:lang w:eastAsia="en-GB"/>
        </w:rPr>
        <w:t xml:space="preserve"> of 1 M potassium sodium tartrate solution</w:t>
      </w:r>
      <w:r w:rsidRPr="0063062B">
        <w:rPr>
          <w:lang w:eastAsia="en-GB"/>
        </w:rPr>
        <w:t xml:space="preserve"> </w:t>
      </w:r>
      <w:r w:rsidR="00307510">
        <w:rPr>
          <w:lang w:eastAsia="en-GB"/>
        </w:rPr>
        <w:t>beaker</w:t>
      </w:r>
    </w:p>
    <w:p w14:paraId="3CCF388A" w14:textId="77777777" w:rsidR="0063062B" w:rsidRDefault="0063062B" w:rsidP="00307510">
      <w:pPr>
        <w:pStyle w:val="RSCBulletedlist"/>
        <w:numPr>
          <w:ilvl w:val="0"/>
          <w:numId w:val="22"/>
        </w:numPr>
        <w:spacing w:line="256" w:lineRule="auto"/>
        <w:rPr>
          <w:lang w:eastAsia="en-GB"/>
        </w:rPr>
      </w:pPr>
      <w:r w:rsidRPr="0063062B">
        <w:rPr>
          <w:lang w:eastAsia="en-GB"/>
        </w:rPr>
        <w:t>100 cm</w:t>
      </w:r>
      <w:r w:rsidRPr="0063062B">
        <w:rPr>
          <w:vertAlign w:val="superscript"/>
          <w:lang w:eastAsia="en-GB"/>
        </w:rPr>
        <w:t>3</w:t>
      </w:r>
      <w:r w:rsidRPr="0063062B">
        <w:rPr>
          <w:lang w:eastAsia="en-GB"/>
        </w:rPr>
        <w:t xml:space="preserve"> of 3% (10 vol) hydrogen peroxide solution</w:t>
      </w:r>
      <w:r w:rsidRPr="0063062B">
        <w:rPr>
          <w:lang w:eastAsia="en-GB"/>
        </w:rPr>
        <w:t xml:space="preserve"> </w:t>
      </w:r>
    </w:p>
    <w:p w14:paraId="5AB3A607" w14:textId="77777777" w:rsidR="0063062B" w:rsidRDefault="0063062B" w:rsidP="00414DC8">
      <w:pPr>
        <w:pStyle w:val="RSCBulletedlist"/>
        <w:numPr>
          <w:ilvl w:val="0"/>
          <w:numId w:val="22"/>
        </w:numPr>
        <w:spacing w:line="256" w:lineRule="auto"/>
        <w:rPr>
          <w:lang w:eastAsia="en-GB"/>
        </w:rPr>
      </w:pPr>
      <w:r w:rsidRPr="0063062B">
        <w:rPr>
          <w:lang w:eastAsia="en-GB"/>
        </w:rPr>
        <w:t>1 cm</w:t>
      </w:r>
      <w:r w:rsidRPr="0063062B">
        <w:rPr>
          <w:vertAlign w:val="superscript"/>
          <w:lang w:eastAsia="en-GB"/>
        </w:rPr>
        <w:t>3</w:t>
      </w:r>
      <w:r w:rsidRPr="0063062B">
        <w:rPr>
          <w:lang w:eastAsia="en-GB"/>
        </w:rPr>
        <w:t xml:space="preserve"> of 0.5 M copper(II) sulfate solution</w:t>
      </w:r>
      <w:r w:rsidRPr="0063062B">
        <w:rPr>
          <w:lang w:eastAsia="en-GB"/>
        </w:rPr>
        <w:t xml:space="preserve"> </w:t>
      </w:r>
    </w:p>
    <w:p w14:paraId="0C757C63" w14:textId="77777777" w:rsidR="0063062B" w:rsidRDefault="0063062B" w:rsidP="00414DC8">
      <w:pPr>
        <w:pStyle w:val="RSCBulletedlist"/>
        <w:numPr>
          <w:ilvl w:val="0"/>
          <w:numId w:val="22"/>
        </w:numPr>
        <w:spacing w:line="256" w:lineRule="auto"/>
        <w:rPr>
          <w:lang w:eastAsia="en-GB"/>
        </w:rPr>
      </w:pPr>
      <w:r w:rsidRPr="0063062B">
        <w:rPr>
          <w:lang w:eastAsia="en-GB"/>
        </w:rPr>
        <w:t>Kettle and large beaker (eg 1 L) to make a water bath</w:t>
      </w:r>
      <w:r w:rsidRPr="0063062B">
        <w:rPr>
          <w:lang w:eastAsia="en-GB"/>
        </w:rPr>
        <w:t xml:space="preserve"> </w:t>
      </w:r>
    </w:p>
    <w:p w14:paraId="71BEBA1B" w14:textId="77777777" w:rsidR="0063062B" w:rsidRPr="0063062B" w:rsidRDefault="0063062B" w:rsidP="0063062B">
      <w:pPr>
        <w:pStyle w:val="ListParagraph"/>
        <w:numPr>
          <w:ilvl w:val="0"/>
          <w:numId w:val="22"/>
        </w:numPr>
        <w:rPr>
          <w:rFonts w:ascii="Century Gothic" w:hAnsi="Century Gothic"/>
          <w:sz w:val="22"/>
          <w:szCs w:val="22"/>
          <w:lang w:eastAsia="en-GB"/>
        </w:rPr>
      </w:pPr>
      <w:r w:rsidRPr="0063062B">
        <w:rPr>
          <w:rFonts w:ascii="Century Gothic" w:hAnsi="Century Gothic"/>
          <w:sz w:val="22"/>
          <w:szCs w:val="22"/>
          <w:lang w:eastAsia="en-GB"/>
        </w:rPr>
        <w:t>Magnetic stirrer and stirrer bar</w:t>
      </w:r>
    </w:p>
    <w:p w14:paraId="7EE4B6C8" w14:textId="7697E551" w:rsidR="0063062B" w:rsidRDefault="0063062B" w:rsidP="00414DC8">
      <w:pPr>
        <w:pStyle w:val="RSCBulletedlist"/>
        <w:numPr>
          <w:ilvl w:val="0"/>
          <w:numId w:val="22"/>
        </w:numPr>
        <w:spacing w:line="256" w:lineRule="auto"/>
        <w:rPr>
          <w:lang w:eastAsia="en-GB"/>
        </w:rPr>
      </w:pPr>
      <w:r>
        <w:rPr>
          <w:lang w:eastAsia="en-GB"/>
        </w:rPr>
        <w:t>250 cm</w:t>
      </w:r>
      <w:r>
        <w:rPr>
          <w:vertAlign w:val="superscript"/>
          <w:lang w:eastAsia="en-GB"/>
        </w:rPr>
        <w:t>3</w:t>
      </w:r>
      <w:r>
        <w:rPr>
          <w:lang w:eastAsia="en-GB"/>
        </w:rPr>
        <w:t xml:space="preserve"> beaker (preferably tall form) for the reaction</w:t>
      </w:r>
    </w:p>
    <w:p w14:paraId="67D59E94" w14:textId="5F65825D" w:rsidR="0063062B" w:rsidRDefault="0063062B" w:rsidP="00414DC8">
      <w:pPr>
        <w:pStyle w:val="RSCBulletedlist"/>
        <w:numPr>
          <w:ilvl w:val="0"/>
          <w:numId w:val="22"/>
        </w:numPr>
        <w:spacing w:line="256" w:lineRule="auto"/>
        <w:rPr>
          <w:lang w:eastAsia="en-GB"/>
        </w:rPr>
      </w:pPr>
      <w:r>
        <w:rPr>
          <w:lang w:eastAsia="en-GB"/>
        </w:rPr>
        <w:t>Boiling tube for heating an initial portion of the hydrogen peroxide solution</w:t>
      </w:r>
    </w:p>
    <w:p w14:paraId="2F8FBDBD" w14:textId="45C0F642" w:rsidR="0063062B" w:rsidRDefault="0063062B" w:rsidP="00414DC8">
      <w:pPr>
        <w:pStyle w:val="RSCBulletedlist"/>
        <w:numPr>
          <w:ilvl w:val="0"/>
          <w:numId w:val="22"/>
        </w:numPr>
        <w:spacing w:line="256" w:lineRule="auto"/>
        <w:rPr>
          <w:lang w:eastAsia="en-GB"/>
        </w:rPr>
      </w:pPr>
      <w:r>
        <w:rPr>
          <w:lang w:eastAsia="en-GB"/>
        </w:rPr>
        <w:t>Thermometer (with a range of 0–100°C)</w:t>
      </w:r>
    </w:p>
    <w:p w14:paraId="42DA7550" w14:textId="5C1D52A3" w:rsidR="0063062B" w:rsidRDefault="0063062B" w:rsidP="00414DC8">
      <w:pPr>
        <w:pStyle w:val="RSCBulletedlist"/>
        <w:numPr>
          <w:ilvl w:val="0"/>
          <w:numId w:val="22"/>
        </w:numPr>
        <w:spacing w:line="256" w:lineRule="auto"/>
        <w:rPr>
          <w:lang w:eastAsia="en-GB"/>
        </w:rPr>
      </w:pPr>
      <w:r>
        <w:rPr>
          <w:lang w:eastAsia="en-GB"/>
        </w:rPr>
        <w:t>White tile</w:t>
      </w:r>
    </w:p>
    <w:p w14:paraId="4B7FAE82" w14:textId="15FB4F32" w:rsidR="00104CB2" w:rsidRDefault="00307510" w:rsidP="00104CB2">
      <w:pPr>
        <w:pStyle w:val="RSCH2"/>
        <w:rPr>
          <w:color w:val="8E1055"/>
          <w:lang w:eastAsia="en-GB"/>
        </w:rPr>
      </w:pPr>
      <w:r>
        <w:rPr>
          <w:color w:val="8E1055"/>
          <w:lang w:eastAsia="en-GB"/>
        </w:rPr>
        <w:t>Preparation</w:t>
      </w:r>
    </w:p>
    <w:p w14:paraId="044EE571" w14:textId="4289CE04" w:rsidR="00663254" w:rsidRPr="00663254" w:rsidRDefault="00663254" w:rsidP="000A64AD">
      <w:pPr>
        <w:pStyle w:val="RSCH2"/>
        <w:spacing w:before="0"/>
        <w:rPr>
          <w:b w:val="0"/>
          <w:bCs w:val="0"/>
          <w:color w:val="auto"/>
          <w:sz w:val="22"/>
          <w:lang w:eastAsia="en-GB"/>
        </w:rPr>
      </w:pPr>
      <w:r w:rsidRPr="00663254">
        <w:rPr>
          <w:b w:val="0"/>
          <w:bCs w:val="0"/>
          <w:color w:val="auto"/>
          <w:sz w:val="22"/>
          <w:lang w:eastAsia="en-GB"/>
        </w:rPr>
        <w:t>Make up 100 cm</w:t>
      </w:r>
      <w:r w:rsidRPr="00CA04FD">
        <w:rPr>
          <w:b w:val="0"/>
          <w:bCs w:val="0"/>
          <w:color w:val="auto"/>
          <w:sz w:val="22"/>
          <w:vertAlign w:val="superscript"/>
          <w:lang w:eastAsia="en-GB"/>
        </w:rPr>
        <w:t>3</w:t>
      </w:r>
      <w:r w:rsidRPr="00663254">
        <w:rPr>
          <w:b w:val="0"/>
          <w:bCs w:val="0"/>
          <w:color w:val="auto"/>
          <w:sz w:val="22"/>
          <w:lang w:eastAsia="en-GB"/>
        </w:rPr>
        <w:t xml:space="preserve"> of fresh 10 vol hydrogen peroxide (10 vol solutions do not keep well because the decomposition inhibitor is less effective when diluted).</w:t>
      </w:r>
    </w:p>
    <w:p w14:paraId="186475CE" w14:textId="2E75402B" w:rsidR="00663254" w:rsidRDefault="00663254" w:rsidP="000A64AD">
      <w:pPr>
        <w:pStyle w:val="RSCH2"/>
        <w:spacing w:before="0"/>
        <w:rPr>
          <w:b w:val="0"/>
          <w:bCs w:val="0"/>
          <w:noProof/>
          <w:color w:val="auto"/>
          <w:sz w:val="22"/>
          <w:lang w:eastAsia="en-GB"/>
        </w:rPr>
      </w:pPr>
      <w:r w:rsidRPr="00663254">
        <w:rPr>
          <w:b w:val="0"/>
          <w:bCs w:val="0"/>
          <w:color w:val="auto"/>
          <w:sz w:val="22"/>
          <w:lang w:eastAsia="en-GB"/>
        </w:rPr>
        <w:t>Place 30 cm</w:t>
      </w:r>
      <w:r w:rsidRPr="00CA04FD">
        <w:rPr>
          <w:b w:val="0"/>
          <w:bCs w:val="0"/>
          <w:color w:val="auto"/>
          <w:sz w:val="22"/>
          <w:vertAlign w:val="superscript"/>
          <w:lang w:eastAsia="en-GB"/>
        </w:rPr>
        <w:t>3</w:t>
      </w:r>
      <w:r w:rsidRPr="00663254">
        <w:rPr>
          <w:b w:val="0"/>
          <w:bCs w:val="0"/>
          <w:color w:val="auto"/>
          <w:sz w:val="22"/>
          <w:lang w:eastAsia="en-GB"/>
        </w:rPr>
        <w:t xml:space="preserve"> of 1 M potassium sodium tartrate in a 250 cm</w:t>
      </w:r>
      <w:r w:rsidRPr="00CA04FD">
        <w:rPr>
          <w:b w:val="0"/>
          <w:bCs w:val="0"/>
          <w:color w:val="auto"/>
          <w:sz w:val="22"/>
          <w:vertAlign w:val="superscript"/>
          <w:lang w:eastAsia="en-GB"/>
        </w:rPr>
        <w:t>3</w:t>
      </w:r>
      <w:r w:rsidRPr="00663254">
        <w:rPr>
          <w:b w:val="0"/>
          <w:bCs w:val="0"/>
          <w:color w:val="auto"/>
          <w:sz w:val="22"/>
          <w:lang w:eastAsia="en-GB"/>
        </w:rPr>
        <w:t xml:space="preserve"> beaker (to make this fresh from the tetrahydrate salt dissolve 8.46 g of solid in 30 cm</w:t>
      </w:r>
      <w:r w:rsidRPr="00CA04FD">
        <w:rPr>
          <w:b w:val="0"/>
          <w:bCs w:val="0"/>
          <w:color w:val="auto"/>
          <w:sz w:val="22"/>
          <w:vertAlign w:val="superscript"/>
          <w:lang w:eastAsia="en-GB"/>
        </w:rPr>
        <w:t>3</w:t>
      </w:r>
      <w:r w:rsidRPr="00663254">
        <w:rPr>
          <w:b w:val="0"/>
          <w:bCs w:val="0"/>
          <w:color w:val="auto"/>
          <w:sz w:val="22"/>
          <w:lang w:eastAsia="en-GB"/>
        </w:rPr>
        <w:t xml:space="preserve"> of water). Add 15 cm</w:t>
      </w:r>
      <w:r w:rsidRPr="00CA04FD">
        <w:rPr>
          <w:b w:val="0"/>
          <w:bCs w:val="0"/>
          <w:color w:val="auto"/>
          <w:sz w:val="22"/>
          <w:vertAlign w:val="superscript"/>
          <w:lang w:eastAsia="en-GB"/>
        </w:rPr>
        <w:t>3</w:t>
      </w:r>
      <w:r w:rsidRPr="00663254">
        <w:rPr>
          <w:b w:val="0"/>
          <w:bCs w:val="0"/>
          <w:color w:val="auto"/>
          <w:sz w:val="22"/>
          <w:lang w:eastAsia="en-GB"/>
        </w:rPr>
        <w:t xml:space="preserve"> of 10 vol hydrogen peroxide to a boiling tube and place both the beaker and the boiling tube in a 1 L beaker. Keep the remaining hydrogen peroxide ready at room temperature. Add a thermometer to the tartrate solution and add hot water from a kettle to the 1 L beaker to bring the solutions to 50–60°C in time for the experiment.</w:t>
      </w:r>
      <w:r w:rsidRPr="00663254">
        <w:rPr>
          <w:b w:val="0"/>
          <w:bCs w:val="0"/>
          <w:noProof/>
          <w:color w:val="auto"/>
          <w:sz w:val="22"/>
          <w:lang w:eastAsia="en-GB"/>
        </w:rPr>
        <w:t xml:space="preserve"> </w:t>
      </w:r>
    </w:p>
    <w:p w14:paraId="4D9756A5" w14:textId="77777777" w:rsidR="00E36392" w:rsidRDefault="00E36392" w:rsidP="000A64AD">
      <w:pPr>
        <w:pStyle w:val="RSCH2"/>
        <w:spacing w:before="0"/>
        <w:rPr>
          <w:b w:val="0"/>
          <w:bCs w:val="0"/>
          <w:noProof/>
          <w:color w:val="auto"/>
          <w:sz w:val="22"/>
          <w:lang w:eastAsia="en-GB"/>
        </w:rPr>
      </w:pPr>
    </w:p>
    <w:p w14:paraId="177A9F5D" w14:textId="632B71AF" w:rsidR="00307510" w:rsidRDefault="00CA04FD" w:rsidP="00663254">
      <w:pPr>
        <w:pStyle w:val="RSCH2"/>
        <w:rPr>
          <w:color w:val="8E1055"/>
          <w:lang w:eastAsia="en-GB"/>
        </w:rPr>
      </w:pPr>
      <w:r>
        <w:rPr>
          <w:noProof/>
          <w:color w:val="8E1055"/>
          <w:lang w:eastAsia="en-GB"/>
        </w:rPr>
        <w:lastRenderedPageBreak/>
        <mc:AlternateContent>
          <mc:Choice Requires="wps">
            <w:drawing>
              <wp:anchor distT="0" distB="0" distL="114300" distR="114300" simplePos="0" relativeHeight="251659264" behindDoc="0" locked="0" layoutInCell="1" allowOverlap="1" wp14:anchorId="6B41BB18" wp14:editId="24743880">
                <wp:simplePos x="0" y="0"/>
                <wp:positionH relativeFrom="column">
                  <wp:posOffset>-171450</wp:posOffset>
                </wp:positionH>
                <wp:positionV relativeFrom="paragraph">
                  <wp:posOffset>-45085</wp:posOffset>
                </wp:positionV>
                <wp:extent cx="6210300" cy="2006600"/>
                <wp:effectExtent l="19050" t="19050" r="19050" b="1270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10300" cy="2006600"/>
                        </a:xfrm>
                        <a:prstGeom prst="rect">
                          <a:avLst/>
                        </a:prstGeom>
                        <a:noFill/>
                        <a:ln w="28575">
                          <a:solidFill>
                            <a:srgbClr val="8E105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B887E" id="Rectangle 3" o:spid="_x0000_s1026" alt="&quot;&quot;" style="position:absolute;margin-left:-13.5pt;margin-top:-3.55pt;width:489pt;height:1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" filled="f" strokecolor="#8e1055" strokeweight="2.25pt"/>
            </w:pict>
          </mc:Fallback>
        </mc:AlternateContent>
      </w:r>
      <w:r w:rsidR="00307510">
        <w:rPr>
          <w:color w:val="8E1055"/>
          <w:lang w:eastAsia="en-GB"/>
        </w:rPr>
        <w:t xml:space="preserve">Safety </w:t>
      </w:r>
      <w:r w:rsidR="00414DC8">
        <w:rPr>
          <w:color w:val="8E1055"/>
          <w:lang w:eastAsia="en-GB"/>
        </w:rPr>
        <w:t xml:space="preserve">and disposal </w:t>
      </w:r>
      <w:r w:rsidR="00307510">
        <w:rPr>
          <w:color w:val="8E1055"/>
          <w:lang w:eastAsia="en-GB"/>
        </w:rPr>
        <w:t xml:space="preserve">notes </w:t>
      </w:r>
    </w:p>
    <w:p w14:paraId="50395BF9" w14:textId="59A81E19" w:rsidR="00307510" w:rsidRDefault="00663254" w:rsidP="00803338">
      <w:pPr>
        <w:pStyle w:val="RSCBulletedlist"/>
        <w:numPr>
          <w:ilvl w:val="0"/>
          <w:numId w:val="24"/>
        </w:numPr>
        <w:rPr>
          <w:lang w:eastAsia="en-GB"/>
        </w:rPr>
      </w:pPr>
      <w:r>
        <w:rPr>
          <w:lang w:eastAsia="en-GB"/>
        </w:rPr>
        <w:t xml:space="preserve">Wear eye protection. </w:t>
      </w:r>
    </w:p>
    <w:p w14:paraId="10023386" w14:textId="7B9A5AA9" w:rsidR="00803338" w:rsidRDefault="00663254" w:rsidP="00803338">
      <w:pPr>
        <w:pStyle w:val="RSCBulletedlist"/>
        <w:numPr>
          <w:ilvl w:val="0"/>
          <w:numId w:val="24"/>
        </w:numPr>
        <w:rPr>
          <w:lang w:eastAsia="en-GB"/>
        </w:rPr>
      </w:pPr>
      <w:r>
        <w:rPr>
          <w:lang w:eastAsia="en-GB"/>
        </w:rPr>
        <w:t>Hydrogen peroxide can cause serious eye damage. CLEAPSS members should refer to RB045 (</w:t>
      </w:r>
      <w:hyperlink r:id="rId9" w:history="1">
        <w:r w:rsidR="00C5445A" w:rsidRPr="008A39BB">
          <w:rPr>
            <w:rStyle w:val="Hyperlink"/>
            <w:lang w:eastAsia="en-GB"/>
          </w:rPr>
          <w:t>bit.ly/46MzwYE</w:t>
        </w:r>
      </w:hyperlink>
      <w:r>
        <w:rPr>
          <w:lang w:eastAsia="en-GB"/>
        </w:rPr>
        <w:t xml:space="preserve">) before diluting 100 vol (30%) hydrogen peroxide. </w:t>
      </w:r>
    </w:p>
    <w:p w14:paraId="6B4F6A7F" w14:textId="46270C56" w:rsidR="00747E9A" w:rsidRDefault="00663254" w:rsidP="00803338">
      <w:pPr>
        <w:pStyle w:val="RSCBulletedlist"/>
        <w:numPr>
          <w:ilvl w:val="0"/>
          <w:numId w:val="24"/>
        </w:numPr>
        <w:rPr>
          <w:lang w:eastAsia="en-GB"/>
        </w:rPr>
      </w:pPr>
      <w:r>
        <w:rPr>
          <w:lang w:eastAsia="en-GB"/>
        </w:rPr>
        <w:t>Copper (II) sulfate is harmful if swallowed and can cause serious eye damage. Avoid contact with skin.</w:t>
      </w:r>
    </w:p>
    <w:p w14:paraId="4FD54866" w14:textId="500DCC5E" w:rsidR="00663254" w:rsidRDefault="00663254" w:rsidP="00803338">
      <w:pPr>
        <w:pStyle w:val="RSCBulletedlist"/>
        <w:numPr>
          <w:ilvl w:val="0"/>
          <w:numId w:val="24"/>
        </w:numPr>
        <w:rPr>
          <w:lang w:eastAsia="en-GB"/>
        </w:rPr>
      </w:pPr>
      <w:r>
        <w:rPr>
          <w:lang w:eastAsia="en-GB"/>
        </w:rPr>
        <w:t>Dilute all solutions with plenty of water and dispose of all diluted solutions in a foul-water drain.</w:t>
      </w:r>
    </w:p>
    <w:p w14:paraId="79B2D810" w14:textId="29E2738C" w:rsidR="00307510" w:rsidRDefault="00307510" w:rsidP="00104CB2">
      <w:pPr>
        <w:pStyle w:val="RSCH2"/>
        <w:rPr>
          <w:color w:val="8E1055"/>
          <w:lang w:eastAsia="en-GB"/>
        </w:rPr>
      </w:pPr>
      <w:r>
        <w:rPr>
          <w:color w:val="8E1055"/>
          <w:lang w:eastAsia="en-GB"/>
        </w:rPr>
        <w:t>In front of the class</w:t>
      </w:r>
    </w:p>
    <w:p w14:paraId="1AC14724" w14:textId="6B6BDDC1" w:rsidR="00EF0EFE" w:rsidRPr="00EF0EFE" w:rsidRDefault="00EF0EFE" w:rsidP="000A64AD">
      <w:pPr>
        <w:pStyle w:val="RSCH2"/>
        <w:spacing w:before="0"/>
        <w:rPr>
          <w:b w:val="0"/>
          <w:bCs w:val="0"/>
          <w:color w:val="auto"/>
          <w:sz w:val="22"/>
          <w:lang w:eastAsia="en-GB"/>
        </w:rPr>
      </w:pPr>
      <w:r w:rsidRPr="00EF0EFE">
        <w:rPr>
          <w:b w:val="0"/>
          <w:bCs w:val="0"/>
          <w:color w:val="auto"/>
          <w:sz w:val="22"/>
          <w:lang w:eastAsia="en-GB"/>
        </w:rPr>
        <w:t>Wear eye protection. Place a white tile on a magnetic stirrer, place the stirrer bar in the 250 cm</w:t>
      </w:r>
      <w:r w:rsidRPr="00CA04FD">
        <w:rPr>
          <w:b w:val="0"/>
          <w:bCs w:val="0"/>
          <w:color w:val="auto"/>
          <w:sz w:val="22"/>
          <w:vertAlign w:val="superscript"/>
          <w:lang w:eastAsia="en-GB"/>
        </w:rPr>
        <w:t>3</w:t>
      </w:r>
      <w:r w:rsidRPr="00EF0EFE">
        <w:rPr>
          <w:b w:val="0"/>
          <w:bCs w:val="0"/>
          <w:color w:val="auto"/>
          <w:sz w:val="22"/>
          <w:lang w:eastAsia="en-GB"/>
        </w:rPr>
        <w:t xml:space="preserve"> beaker of potassium sodium tartrate solution and add the 15 cm</w:t>
      </w:r>
      <w:r w:rsidRPr="00CA04FD">
        <w:rPr>
          <w:b w:val="0"/>
          <w:bCs w:val="0"/>
          <w:color w:val="auto"/>
          <w:sz w:val="22"/>
          <w:vertAlign w:val="superscript"/>
          <w:lang w:eastAsia="en-GB"/>
        </w:rPr>
        <w:t>3</w:t>
      </w:r>
      <w:r w:rsidRPr="00EF0EFE">
        <w:rPr>
          <w:b w:val="0"/>
          <w:bCs w:val="0"/>
          <w:color w:val="auto"/>
          <w:sz w:val="22"/>
          <w:lang w:eastAsia="en-GB"/>
        </w:rPr>
        <w:t xml:space="preserve"> of heated hydrogen peroxide from the boiling tube and begin stirring. Monitor the temperature. The reaction is initiated by the addition of approx 1 cm</w:t>
      </w:r>
      <w:r w:rsidRPr="00CA04FD">
        <w:rPr>
          <w:b w:val="0"/>
          <w:bCs w:val="0"/>
          <w:color w:val="auto"/>
          <w:sz w:val="22"/>
          <w:vertAlign w:val="superscript"/>
          <w:lang w:eastAsia="en-GB"/>
        </w:rPr>
        <w:t>3</w:t>
      </w:r>
      <w:r w:rsidRPr="00EF0EFE">
        <w:rPr>
          <w:b w:val="0"/>
          <w:bCs w:val="0"/>
          <w:color w:val="auto"/>
          <w:sz w:val="22"/>
          <w:lang w:eastAsia="en-GB"/>
        </w:rPr>
        <w:t xml:space="preserve"> of 0.5 M copper sulfate(VI). This is best done when the solution reaches 50°C.</w:t>
      </w:r>
    </w:p>
    <w:p w14:paraId="509B0047" w14:textId="3CE65587" w:rsidR="00EF0EFE" w:rsidRPr="00EF0EFE" w:rsidRDefault="00EF0EFE" w:rsidP="000A64AD">
      <w:pPr>
        <w:pStyle w:val="RSCH2"/>
        <w:spacing w:before="0"/>
        <w:rPr>
          <w:b w:val="0"/>
          <w:bCs w:val="0"/>
          <w:color w:val="auto"/>
          <w:sz w:val="22"/>
          <w:lang w:eastAsia="en-GB"/>
        </w:rPr>
      </w:pPr>
      <w:r w:rsidRPr="00EF0EFE">
        <w:rPr>
          <w:b w:val="0"/>
          <w:bCs w:val="0"/>
          <w:color w:val="auto"/>
          <w:sz w:val="22"/>
          <w:lang w:eastAsia="en-GB"/>
        </w:rPr>
        <w:t>The colour of the copper sulfate(VI) would be expected to be near-colourless when diluted to this extent by adding into the tartrate/peroxide mixture. Instead a deep blue colour is observed as copper(II) tartrate complex is formed. Lots of bubbles of oxygen and carbon dioxide are released and after ≈10 seconds the solution changes from blue to an opaque, golden-orange-yellow coloured precipitate. The temperature will rise rapidly at this point to ≈65°C. On addition of 10 cm</w:t>
      </w:r>
      <w:r w:rsidRPr="00CA04FD">
        <w:rPr>
          <w:b w:val="0"/>
          <w:bCs w:val="0"/>
          <w:color w:val="auto"/>
          <w:sz w:val="22"/>
          <w:vertAlign w:val="superscript"/>
          <w:lang w:eastAsia="en-GB"/>
        </w:rPr>
        <w:t>3</w:t>
      </w:r>
      <w:r w:rsidRPr="00EF0EFE">
        <w:rPr>
          <w:b w:val="0"/>
          <w:bCs w:val="0"/>
          <w:color w:val="auto"/>
          <w:sz w:val="22"/>
          <w:lang w:eastAsia="en-GB"/>
        </w:rPr>
        <w:t xml:space="preserve"> of room temperature 10 vol hydrogen peroxide, the blue colour will return before the reaction repeats and cycles back to the orange precipitate. Add further aliquots of hydrogen peroxide to cycle the reaction until the tartrate, or your audience, becomes exhausted!</w:t>
      </w:r>
    </w:p>
    <w:p w14:paraId="0B2D4487" w14:textId="77777777" w:rsidR="00EF0EFE" w:rsidRDefault="00EF0EFE" w:rsidP="000A64AD">
      <w:pPr>
        <w:pStyle w:val="RSCH2"/>
        <w:spacing w:before="0"/>
        <w:rPr>
          <w:b w:val="0"/>
          <w:bCs w:val="0"/>
          <w:color w:val="auto"/>
          <w:sz w:val="22"/>
          <w:lang w:eastAsia="en-GB"/>
        </w:rPr>
      </w:pPr>
      <w:r w:rsidRPr="00EF0EFE">
        <w:rPr>
          <w:b w:val="0"/>
          <w:bCs w:val="0"/>
          <w:color w:val="auto"/>
          <w:sz w:val="22"/>
          <w:lang w:eastAsia="en-GB"/>
        </w:rPr>
        <w:t>The reaction takes longer to repeat if you allow the temperature to drop, but this can be compensated for by adding the peroxide quickly enough after the precipitate finishes forming to maintain the temperature at 60–70°C throughout the experiment. Avoid allowing the temperature to rise too much because this inhibits the cycling of the reaction.</w:t>
      </w:r>
      <w:r w:rsidRPr="00EF0EFE">
        <w:rPr>
          <w:b w:val="0"/>
          <w:bCs w:val="0"/>
          <w:color w:val="auto"/>
          <w:sz w:val="22"/>
          <w:lang w:eastAsia="en-GB"/>
        </w:rPr>
        <w:t xml:space="preserve"> </w:t>
      </w:r>
    </w:p>
    <w:p w14:paraId="2F2787C7" w14:textId="24271A6B" w:rsidR="00104CB2" w:rsidRDefault="00307510" w:rsidP="00EF0EFE">
      <w:pPr>
        <w:pStyle w:val="RSCH2"/>
        <w:rPr>
          <w:color w:val="8E1055"/>
          <w:lang w:eastAsia="en-GB"/>
        </w:rPr>
      </w:pPr>
      <w:r>
        <w:rPr>
          <w:color w:val="8E1055"/>
          <w:lang w:eastAsia="en-GB"/>
        </w:rPr>
        <w:t>Teaching goal</w:t>
      </w:r>
    </w:p>
    <w:p w14:paraId="0A3C8F2D" w14:textId="2E901ABD" w:rsidR="00EF0EFE" w:rsidRPr="00EF0EFE" w:rsidRDefault="00EF0EFE" w:rsidP="000A64AD">
      <w:pPr>
        <w:pStyle w:val="RSCH4"/>
        <w:spacing w:before="0"/>
        <w:rPr>
          <w:i w:val="0"/>
          <w:iCs w:val="0"/>
          <w:color w:val="auto"/>
          <w:sz w:val="22"/>
          <w:szCs w:val="22"/>
          <w:lang w:eastAsia="en-GB"/>
        </w:rPr>
      </w:pPr>
      <w:r w:rsidRPr="00EF0EFE">
        <w:rPr>
          <w:i w:val="0"/>
          <w:iCs w:val="0"/>
          <w:color w:val="auto"/>
          <w:sz w:val="22"/>
          <w:szCs w:val="22"/>
          <w:lang w:eastAsia="en-GB"/>
        </w:rPr>
        <w:t>When executed well, the cobalt variation of this reaction (</w:t>
      </w:r>
      <w:hyperlink r:id="rId10" w:history="1">
        <w:r w:rsidR="00DC34AD" w:rsidRPr="008A39BB">
          <w:rPr>
            <w:rStyle w:val="Hyperlink"/>
            <w:i w:val="0"/>
            <w:iCs w:val="0"/>
            <w:sz w:val="22"/>
            <w:szCs w:val="22"/>
            <w:lang w:eastAsia="en-GB"/>
          </w:rPr>
          <w:t>rsc.li/3S5OK77</w:t>
        </w:r>
      </w:hyperlink>
      <w:r w:rsidRPr="00EF0EFE">
        <w:rPr>
          <w:i w:val="0"/>
          <w:iCs w:val="0"/>
          <w:color w:val="auto"/>
          <w:sz w:val="22"/>
          <w:szCs w:val="22"/>
          <w:lang w:eastAsia="en-GB"/>
        </w:rPr>
        <w:t>) demonstrates catalytic effects superbly, with differently coloured complexes formed during the reaction before the original colour returns. However, this copper variation consumes only a small proportion of the tartrate ions each time, so it makes for a visually appealing demonstration of the reversibility of reactions and demonstrates aspects of transition metal chemistry (changes of colour, variable oxidation states, complex formation and catalytic behaviour).</w:t>
      </w:r>
    </w:p>
    <w:p w14:paraId="46EAA440" w14:textId="27067729" w:rsidR="00EF0EFE" w:rsidRPr="00EF0EFE" w:rsidRDefault="00EF0EFE" w:rsidP="000A64AD">
      <w:pPr>
        <w:pStyle w:val="RSCH4"/>
        <w:spacing w:before="0"/>
        <w:rPr>
          <w:i w:val="0"/>
          <w:iCs w:val="0"/>
          <w:color w:val="auto"/>
          <w:sz w:val="22"/>
          <w:szCs w:val="22"/>
          <w:lang w:eastAsia="en-GB"/>
        </w:rPr>
      </w:pPr>
      <w:r w:rsidRPr="00EF0EFE">
        <w:rPr>
          <w:i w:val="0"/>
          <w:iCs w:val="0"/>
          <w:color w:val="auto"/>
          <w:sz w:val="22"/>
          <w:szCs w:val="22"/>
          <w:lang w:eastAsia="en-GB"/>
        </w:rPr>
        <w:lastRenderedPageBreak/>
        <w:t>On addition of the copper, the solution goes from near-colourless to blue as intensely coloured copper–tartrate complex ion forms. After a short latency period, the copper acts as a catalyst for the decomposition of peroxide (the two can react without the presence of tartrate), and in the oxidation of tartrate. Eventually, the ratio of [tartrate]:[H</w:t>
      </w:r>
      <w:r w:rsidRPr="00CA04FD">
        <w:rPr>
          <w:i w:val="0"/>
          <w:iCs w:val="0"/>
          <w:color w:val="auto"/>
          <w:sz w:val="22"/>
          <w:szCs w:val="22"/>
          <w:vertAlign w:val="subscript"/>
          <w:lang w:eastAsia="en-GB"/>
        </w:rPr>
        <w:t>2</w:t>
      </w:r>
      <w:r w:rsidRPr="00EF0EFE">
        <w:rPr>
          <w:i w:val="0"/>
          <w:iCs w:val="0"/>
          <w:color w:val="auto"/>
          <w:sz w:val="22"/>
          <w:szCs w:val="22"/>
          <w:lang w:eastAsia="en-GB"/>
        </w:rPr>
        <w:t>O</w:t>
      </w:r>
      <w:r w:rsidRPr="00CA04FD">
        <w:rPr>
          <w:i w:val="0"/>
          <w:iCs w:val="0"/>
          <w:color w:val="auto"/>
          <w:sz w:val="22"/>
          <w:szCs w:val="22"/>
          <w:vertAlign w:val="subscript"/>
          <w:lang w:eastAsia="en-GB"/>
        </w:rPr>
        <w:t>2</w:t>
      </w:r>
      <w:r w:rsidRPr="00EF0EFE">
        <w:rPr>
          <w:i w:val="0"/>
          <w:iCs w:val="0"/>
          <w:color w:val="auto"/>
          <w:sz w:val="22"/>
          <w:szCs w:val="22"/>
          <w:lang w:eastAsia="en-GB"/>
        </w:rPr>
        <w:t>] becomes high enough and the Cu(II) complex becomes a reactant and is reduced to the orange precipitate. The orange precipitate looks like the copper(I) oxide formed in a positive Benedict’s test but is more likely to be a copper(I)–peroxo–tartrate complex of Cu</w:t>
      </w:r>
      <w:r w:rsidRPr="00CA04FD">
        <w:rPr>
          <w:i w:val="0"/>
          <w:iCs w:val="0"/>
          <w:color w:val="auto"/>
          <w:sz w:val="22"/>
          <w:szCs w:val="22"/>
          <w:vertAlign w:val="subscript"/>
          <w:lang w:eastAsia="en-GB"/>
        </w:rPr>
        <w:t>2</w:t>
      </w:r>
      <w:r w:rsidRPr="00EF0EFE">
        <w:rPr>
          <w:i w:val="0"/>
          <w:iCs w:val="0"/>
          <w:color w:val="auto"/>
          <w:sz w:val="22"/>
          <w:szCs w:val="22"/>
          <w:lang w:eastAsia="en-GB"/>
        </w:rPr>
        <w:t>O.</w:t>
      </w:r>
    </w:p>
    <w:p w14:paraId="6C3FC26F" w14:textId="1879B4AE" w:rsidR="00307510" w:rsidRPr="005A5001" w:rsidRDefault="00EF0EFE" w:rsidP="000A64AD">
      <w:pPr>
        <w:pStyle w:val="RSCH4"/>
        <w:spacing w:before="0"/>
        <w:rPr>
          <w:rStyle w:val="IntenseEmphasis"/>
          <w:i/>
          <w:iCs/>
          <w:color w:val="70164C"/>
        </w:rPr>
      </w:pPr>
      <w:r w:rsidRPr="00EF0EFE">
        <w:rPr>
          <w:i w:val="0"/>
          <w:iCs w:val="0"/>
          <w:color w:val="auto"/>
          <w:sz w:val="22"/>
          <w:szCs w:val="22"/>
          <w:lang w:eastAsia="en-GB"/>
        </w:rPr>
        <w:t>When more peroxide is added the ratio flips back again and reoxidises the Cu(I) to Cu(II), which causes the chain of reactions to start over, this time from a slightly higher pH. The reason the reaction tends to slow over time would seem on first glance to be explained by the reduction in tartrate concentration, but higher temperatures and higher pH also inhibit formation of the precipitate (one reason it’s not recommended to go too much higher than 70°C).</w:t>
      </w:r>
      <w:r w:rsidRPr="00EF0EFE">
        <w:rPr>
          <w:rStyle w:val="IntenseEmphasis"/>
          <w:color w:val="auto"/>
          <w:sz w:val="22"/>
          <w:szCs w:val="22"/>
          <w:lang w:eastAsia="en-GB"/>
        </w:rPr>
        <w:t xml:space="preserve"> </w:t>
      </w:r>
    </w:p>
    <w:bookmarkEnd w:id="0"/>
    <w:p w14:paraId="522D16BD" w14:textId="63F512FD" w:rsidR="00D00AB5" w:rsidRPr="00CD56DB" w:rsidRDefault="00D00AB5" w:rsidP="00D00AB5">
      <w:pPr>
        <w:pStyle w:val="RSCMarks"/>
        <w:rPr>
          <w:color w:val="006F62"/>
        </w:rPr>
      </w:pPr>
    </w:p>
    <w:p w14:paraId="7F3EC2A4" w14:textId="7EF08116" w:rsidR="00D00AB5" w:rsidRPr="00F74583" w:rsidRDefault="00D00AB5" w:rsidP="00F74583">
      <w:pPr>
        <w:spacing w:after="160" w:line="259" w:lineRule="auto"/>
        <w:jc w:val="left"/>
        <w:outlineLvl w:val="9"/>
        <w:rPr>
          <w:rFonts w:ascii="Century Gothic" w:hAnsi="Century Gothic"/>
          <w:b/>
          <w:bCs/>
          <w:color w:val="004976"/>
          <w:sz w:val="28"/>
          <w:szCs w:val="22"/>
        </w:rPr>
      </w:pPr>
    </w:p>
    <w:sectPr w:rsidR="00D00AB5" w:rsidRPr="00F74583" w:rsidSect="00231C1C">
      <w:headerReference w:type="default" r:id="rId11"/>
      <w:footerReference w:type="default" r:id="rId12"/>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276F0" w14:textId="77777777" w:rsidR="007A08F5" w:rsidRDefault="007A08F5" w:rsidP="008A1B0B">
      <w:pPr>
        <w:spacing w:after="0" w:line="240" w:lineRule="auto"/>
      </w:pPr>
      <w:r>
        <w:separator/>
      </w:r>
    </w:p>
  </w:endnote>
  <w:endnote w:type="continuationSeparator" w:id="0">
    <w:p w14:paraId="7981FF4B" w14:textId="77777777" w:rsidR="007A08F5" w:rsidRDefault="007A08F5"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63E6EE84" w:rsidR="00231C1C" w:rsidRPr="00B226A7" w:rsidRDefault="00B226A7" w:rsidP="002F2A90">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DC0D9C">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w:t>
    </w:r>
    <w:r w:rsidR="00362CD9">
      <w:rPr>
        <w:rFonts w:ascii="Century Gothic" w:hAnsi="Century Gothic"/>
        <w:sz w:val="16"/>
        <w:szCs w:val="16"/>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933B9" w14:textId="77777777" w:rsidR="007A08F5" w:rsidRDefault="007A08F5" w:rsidP="008A1B0B">
      <w:pPr>
        <w:spacing w:after="0" w:line="240" w:lineRule="auto"/>
      </w:pPr>
      <w:r>
        <w:separator/>
      </w:r>
    </w:p>
  </w:footnote>
  <w:footnote w:type="continuationSeparator" w:id="0">
    <w:p w14:paraId="2FCC546E" w14:textId="77777777" w:rsidR="007A08F5" w:rsidRDefault="007A08F5"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1A2987EE" w:rsidR="008A1B0B" w:rsidRDefault="00104CB2" w:rsidP="008D7A53">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1312" behindDoc="0" locked="0" layoutInCell="1" allowOverlap="1" wp14:anchorId="03C1906C" wp14:editId="4BC43DF0">
          <wp:simplePos x="0" y="0"/>
          <wp:positionH relativeFrom="column">
            <wp:posOffset>-542925</wp:posOffset>
          </wp:positionH>
          <wp:positionV relativeFrom="paragraph">
            <wp:posOffset>40640</wp:posOffset>
          </wp:positionV>
          <wp:extent cx="2160905" cy="36258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0905" cy="362585"/>
                  </a:xfrm>
                  <a:prstGeom prst="rect">
                    <a:avLst/>
                  </a:prstGeom>
                </pic:spPr>
              </pic:pic>
            </a:graphicData>
          </a:graphic>
        </wp:anchor>
      </w:drawing>
    </w:r>
    <w:r w:rsidR="008D7A53" w:rsidRPr="00DF7826">
      <w:rPr>
        <w:rFonts w:ascii="Century Gothic" w:hAnsi="Century Gothic"/>
        <w:b/>
        <w:bCs/>
        <w:noProof/>
        <w:color w:val="991E66"/>
        <w:sz w:val="30"/>
        <w:szCs w:val="30"/>
      </w:rPr>
      <w:drawing>
        <wp:anchor distT="0" distB="0" distL="114300" distR="114300" simplePos="0" relativeHeight="251659264" behindDoc="0" locked="0" layoutInCell="1" allowOverlap="1" wp14:anchorId="6E755D66" wp14:editId="1B89F19B">
          <wp:simplePos x="0" y="0"/>
          <wp:positionH relativeFrom="column">
            <wp:posOffset>-540385</wp:posOffset>
          </wp:positionH>
          <wp:positionV relativeFrom="paragraph">
            <wp:posOffset>36195</wp:posOffset>
          </wp:positionV>
          <wp:extent cx="1789200" cy="356400"/>
          <wp:effectExtent l="0" t="0" r="1905"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F76A3" w:rsidRPr="00DF7826">
      <w:rPr>
        <w:rFonts w:ascii="Century Gothic" w:hAnsi="Century Gothic"/>
        <w:b/>
        <w:bCs/>
        <w:noProof/>
        <w:color w:val="991E66"/>
        <w:sz w:val="30"/>
        <w:szCs w:val="30"/>
      </w:rPr>
      <w:drawing>
        <wp:anchor distT="0" distB="0" distL="114300" distR="114300" simplePos="0" relativeHeight="251658240" behindDoc="1" locked="0" layoutInCell="1" allowOverlap="1" wp14:anchorId="119FB73F" wp14:editId="2536E388">
          <wp:simplePos x="0" y="0"/>
          <wp:positionH relativeFrom="column">
            <wp:posOffset>-927101</wp:posOffset>
          </wp:positionH>
          <wp:positionV relativeFrom="paragraph">
            <wp:posOffset>-267335</wp:posOffset>
          </wp:positionV>
          <wp:extent cx="7569919" cy="107124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14:sizeRelH relativeFrom="page">
            <wp14:pctWidth>0</wp14:pctWidth>
          </wp14:sizeRelH>
          <wp14:sizeRelV relativeFrom="page">
            <wp14:pctHeight>0</wp14:pctHeight>
          </wp14:sizeRelV>
        </wp:anchor>
      </w:drawing>
    </w:r>
    <w:r w:rsidR="00DF7826">
      <w:rPr>
        <w:rFonts w:ascii="Century Gothic" w:hAnsi="Century Gothic"/>
        <w:b/>
        <w:bCs/>
        <w:color w:val="991E66"/>
        <w:sz w:val="30"/>
        <w:szCs w:val="30"/>
      </w:rPr>
      <w:t>E</w:t>
    </w:r>
    <w:r>
      <w:rPr>
        <w:rFonts w:ascii="Century Gothic" w:hAnsi="Century Gothic"/>
        <w:b/>
        <w:bCs/>
        <w:color w:val="991E66"/>
        <w:sz w:val="30"/>
        <w:szCs w:val="30"/>
      </w:rPr>
      <w:t>xhibition</w:t>
    </w:r>
    <w:r w:rsidR="00DF7826">
      <w:rPr>
        <w:rFonts w:ascii="Century Gothic" w:hAnsi="Century Gothic"/>
        <w:b/>
        <w:bCs/>
        <w:color w:val="991E66"/>
        <w:sz w:val="30"/>
        <w:szCs w:val="30"/>
      </w:rPr>
      <w:t xml:space="preserve"> Chemistry</w:t>
    </w:r>
    <w:r w:rsidR="00557BF2" w:rsidRPr="00DF7826">
      <w:rPr>
        <w:rFonts w:ascii="Century Gothic" w:hAnsi="Century Gothic"/>
        <w:b/>
        <w:bCs/>
        <w:color w:val="FF0000"/>
        <w:sz w:val="24"/>
        <w:szCs w:val="24"/>
      </w:rPr>
      <w:t xml:space="preserve"> </w:t>
    </w:r>
  </w:p>
  <w:p w14:paraId="014B122C" w14:textId="1EFE798A" w:rsidR="00557BF2" w:rsidRPr="00557BF2" w:rsidRDefault="00DC0D9C" w:rsidP="00FF76A3">
    <w:pPr>
      <w:spacing w:after="86"/>
      <w:ind w:right="-850"/>
      <w:jc w:val="right"/>
      <w:rPr>
        <w:rFonts w:ascii="Century Gothic" w:hAnsi="Century Gothic"/>
        <w:b/>
        <w:bCs/>
        <w:color w:val="004976"/>
        <w:sz w:val="18"/>
        <w:szCs w:val="18"/>
      </w:rPr>
    </w:pPr>
    <w:r>
      <w:rPr>
        <w:rFonts w:ascii="Century Gothic" w:hAnsi="Century Gothic"/>
        <w:b/>
        <w:bCs/>
        <w:color w:val="000000" w:themeColor="text1"/>
        <w:sz w:val="18"/>
        <w:szCs w:val="18"/>
      </w:rPr>
      <w:t>Available</w:t>
    </w:r>
    <w:r w:rsidR="008B34F9">
      <w:rPr>
        <w:rFonts w:ascii="Century Gothic" w:hAnsi="Century Gothic"/>
        <w:b/>
        <w:bCs/>
        <w:color w:val="000000" w:themeColor="text1"/>
        <w:sz w:val="18"/>
        <w:szCs w:val="18"/>
      </w:rPr>
      <w:t xml:space="preserve"> from</w:t>
    </w:r>
    <w:r w:rsidR="00557BF2" w:rsidRPr="00A56431">
      <w:rPr>
        <w:rFonts w:ascii="Century Gothic" w:hAnsi="Century Gothic"/>
        <w:b/>
        <w:bCs/>
        <w:color w:val="000000" w:themeColor="text1"/>
        <w:sz w:val="18"/>
        <w:szCs w:val="18"/>
      </w:rPr>
      <w:t xml:space="preserve"> </w:t>
    </w:r>
    <w:hyperlink r:id="rId4" w:history="1">
      <w:r w:rsidR="00BE2E2F" w:rsidRPr="008A39BB">
        <w:rPr>
          <w:rStyle w:val="Hyperlink"/>
          <w:rFonts w:ascii="Century Gothic" w:hAnsi="Century Gothic"/>
          <w:b/>
          <w:bCs/>
          <w:sz w:val="18"/>
          <w:szCs w:val="18"/>
        </w:rPr>
        <w:t>https://rsc.li/3FkGYi6</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76B44E72"/>
    <w:lvl w:ilvl="0" w:tplc="8E40D1DC">
      <w:start w:val="1"/>
      <w:numFmt w:val="bullet"/>
      <w:pStyle w:val="RSCBulletedlist"/>
      <w:lvlText w:val=""/>
      <w:lvlJc w:val="left"/>
      <w:pPr>
        <w:ind w:left="363" w:hanging="363"/>
      </w:pPr>
      <w:rPr>
        <w:rFonts w:ascii="Symbol" w:hAnsi="Symbol" w:hint="default"/>
        <w:color w:val="00497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01881FC8"/>
    <w:lvl w:ilvl="0" w:tplc="B6AC983E">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8EF02762"/>
    <w:lvl w:ilvl="0" w:tplc="BEE61F6A">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0A6AD2C4"/>
    <w:lvl w:ilvl="0" w:tplc="44E8C560">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F55A3C"/>
    <w:multiLevelType w:val="hybridMultilevel"/>
    <w:tmpl w:val="EC92222E"/>
    <w:lvl w:ilvl="0" w:tplc="8CC26048">
      <w:start w:val="1"/>
      <w:numFmt w:val="bullet"/>
      <w:lvlText w:val=""/>
      <w:lvlJc w:val="left"/>
      <w:pPr>
        <w:ind w:left="720" w:hanging="360"/>
      </w:pPr>
      <w:rPr>
        <w:rFonts w:ascii="Symbol" w:hAnsi="Symbol" w:hint="default"/>
        <w:color w:val="991E66"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36F0B44"/>
    <w:multiLevelType w:val="hybridMultilevel"/>
    <w:tmpl w:val="FA6CAFA4"/>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793E90"/>
    <w:multiLevelType w:val="hybridMultilevel"/>
    <w:tmpl w:val="74F43388"/>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10605598">
    <w:abstractNumId w:val="19"/>
  </w:num>
  <w:num w:numId="2" w16cid:durableId="46608390">
    <w:abstractNumId w:val="10"/>
  </w:num>
  <w:num w:numId="3" w16cid:durableId="767046158">
    <w:abstractNumId w:val="5"/>
  </w:num>
  <w:num w:numId="4" w16cid:durableId="1754862014">
    <w:abstractNumId w:val="8"/>
  </w:num>
  <w:num w:numId="5" w16cid:durableId="522865220">
    <w:abstractNumId w:val="16"/>
  </w:num>
  <w:num w:numId="6" w16cid:durableId="1092093063">
    <w:abstractNumId w:val="18"/>
  </w:num>
  <w:num w:numId="7" w16cid:durableId="1042751722">
    <w:abstractNumId w:val="1"/>
  </w:num>
  <w:num w:numId="8" w16cid:durableId="339281078">
    <w:abstractNumId w:val="4"/>
  </w:num>
  <w:num w:numId="9" w16cid:durableId="166483661">
    <w:abstractNumId w:val="3"/>
  </w:num>
  <w:num w:numId="10" w16cid:durableId="739593575">
    <w:abstractNumId w:val="2"/>
  </w:num>
  <w:num w:numId="11" w16cid:durableId="1035690940">
    <w:abstractNumId w:val="11"/>
  </w:num>
  <w:num w:numId="12" w16cid:durableId="1470199975">
    <w:abstractNumId w:val="2"/>
    <w:lvlOverride w:ilvl="0">
      <w:startOverride w:val="1"/>
    </w:lvlOverride>
  </w:num>
  <w:num w:numId="13" w16cid:durableId="1479612613">
    <w:abstractNumId w:val="15"/>
  </w:num>
  <w:num w:numId="14" w16cid:durableId="1674912029">
    <w:abstractNumId w:val="13"/>
  </w:num>
  <w:num w:numId="15" w16cid:durableId="2099716115">
    <w:abstractNumId w:val="9"/>
  </w:num>
  <w:num w:numId="16" w16cid:durableId="649024404">
    <w:abstractNumId w:val="0"/>
  </w:num>
  <w:num w:numId="17" w16cid:durableId="1550605262">
    <w:abstractNumId w:val="6"/>
  </w:num>
  <w:num w:numId="18" w16cid:durableId="181480924">
    <w:abstractNumId w:val="7"/>
  </w:num>
  <w:num w:numId="19" w16cid:durableId="2003771580">
    <w:abstractNumId w:val="3"/>
    <w:lvlOverride w:ilvl="0">
      <w:startOverride w:val="1"/>
    </w:lvlOverride>
  </w:num>
  <w:num w:numId="20" w16cid:durableId="2139297354">
    <w:abstractNumId w:val="17"/>
  </w:num>
  <w:num w:numId="21" w16cid:durableId="1368411444">
    <w:abstractNumId w:val="1"/>
  </w:num>
  <w:num w:numId="22" w16cid:durableId="1597057039">
    <w:abstractNumId w:val="14"/>
  </w:num>
  <w:num w:numId="23" w16cid:durableId="1359821052">
    <w:abstractNumId w:val="12"/>
  </w:num>
  <w:num w:numId="24" w16cid:durableId="14335462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22B65"/>
    <w:rsid w:val="00046615"/>
    <w:rsid w:val="0005730B"/>
    <w:rsid w:val="000878DA"/>
    <w:rsid w:val="00087C7B"/>
    <w:rsid w:val="0009292F"/>
    <w:rsid w:val="000A64AD"/>
    <w:rsid w:val="000B0210"/>
    <w:rsid w:val="000B0FE6"/>
    <w:rsid w:val="000E6E48"/>
    <w:rsid w:val="000F33CC"/>
    <w:rsid w:val="00104CB2"/>
    <w:rsid w:val="00146FCD"/>
    <w:rsid w:val="00147637"/>
    <w:rsid w:val="00170732"/>
    <w:rsid w:val="00180C62"/>
    <w:rsid w:val="001A278F"/>
    <w:rsid w:val="001D1067"/>
    <w:rsid w:val="002304A7"/>
    <w:rsid w:val="00231C1C"/>
    <w:rsid w:val="002549BE"/>
    <w:rsid w:val="00255470"/>
    <w:rsid w:val="002A3C79"/>
    <w:rsid w:val="002B06C9"/>
    <w:rsid w:val="002C2223"/>
    <w:rsid w:val="002D34BA"/>
    <w:rsid w:val="002E47CA"/>
    <w:rsid w:val="002F2A90"/>
    <w:rsid w:val="002F35A3"/>
    <w:rsid w:val="003059AB"/>
    <w:rsid w:val="003066BC"/>
    <w:rsid w:val="00307510"/>
    <w:rsid w:val="00362CD9"/>
    <w:rsid w:val="003716B9"/>
    <w:rsid w:val="00383A44"/>
    <w:rsid w:val="003B7300"/>
    <w:rsid w:val="003C643A"/>
    <w:rsid w:val="003D6657"/>
    <w:rsid w:val="00414DC8"/>
    <w:rsid w:val="0044650F"/>
    <w:rsid w:val="00446F05"/>
    <w:rsid w:val="0046389A"/>
    <w:rsid w:val="00485CEA"/>
    <w:rsid w:val="00512B6D"/>
    <w:rsid w:val="00516F80"/>
    <w:rsid w:val="0052289F"/>
    <w:rsid w:val="00557BF2"/>
    <w:rsid w:val="005A5001"/>
    <w:rsid w:val="005B4AFE"/>
    <w:rsid w:val="005F286E"/>
    <w:rsid w:val="00623DCE"/>
    <w:rsid w:val="0063062B"/>
    <w:rsid w:val="00663254"/>
    <w:rsid w:val="006820BE"/>
    <w:rsid w:val="006D790E"/>
    <w:rsid w:val="006E13FB"/>
    <w:rsid w:val="006E17E5"/>
    <w:rsid w:val="007042E5"/>
    <w:rsid w:val="00747E9A"/>
    <w:rsid w:val="00747FE6"/>
    <w:rsid w:val="0077600A"/>
    <w:rsid w:val="007A08F5"/>
    <w:rsid w:val="007B56F2"/>
    <w:rsid w:val="00803338"/>
    <w:rsid w:val="0081721A"/>
    <w:rsid w:val="00835B9C"/>
    <w:rsid w:val="00862463"/>
    <w:rsid w:val="0089187A"/>
    <w:rsid w:val="00893B8E"/>
    <w:rsid w:val="00893F3D"/>
    <w:rsid w:val="008A1B0B"/>
    <w:rsid w:val="008B34F9"/>
    <w:rsid w:val="008B54F1"/>
    <w:rsid w:val="008D7A53"/>
    <w:rsid w:val="00905E09"/>
    <w:rsid w:val="009272D0"/>
    <w:rsid w:val="00942047"/>
    <w:rsid w:val="00A13442"/>
    <w:rsid w:val="00A5348B"/>
    <w:rsid w:val="00A571EB"/>
    <w:rsid w:val="00A5740C"/>
    <w:rsid w:val="00A725C3"/>
    <w:rsid w:val="00AA2485"/>
    <w:rsid w:val="00B226A7"/>
    <w:rsid w:val="00B30A6E"/>
    <w:rsid w:val="00B67A03"/>
    <w:rsid w:val="00B71E66"/>
    <w:rsid w:val="00BA3729"/>
    <w:rsid w:val="00BE2E2F"/>
    <w:rsid w:val="00C1703F"/>
    <w:rsid w:val="00C43346"/>
    <w:rsid w:val="00C5445A"/>
    <w:rsid w:val="00CA04FD"/>
    <w:rsid w:val="00CD3159"/>
    <w:rsid w:val="00CD3907"/>
    <w:rsid w:val="00CD5E3C"/>
    <w:rsid w:val="00CF6E3E"/>
    <w:rsid w:val="00D00AB5"/>
    <w:rsid w:val="00D17CC0"/>
    <w:rsid w:val="00D45D99"/>
    <w:rsid w:val="00D60D30"/>
    <w:rsid w:val="00DC0D9C"/>
    <w:rsid w:val="00DC34AD"/>
    <w:rsid w:val="00DD432E"/>
    <w:rsid w:val="00DF7826"/>
    <w:rsid w:val="00E36392"/>
    <w:rsid w:val="00E95DE4"/>
    <w:rsid w:val="00EC7EFF"/>
    <w:rsid w:val="00EF0EFE"/>
    <w:rsid w:val="00F74583"/>
    <w:rsid w:val="00F80ECB"/>
    <w:rsid w:val="00FC3B24"/>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0B0210"/>
    <w:pPr>
      <w:tabs>
        <w:tab w:val="left" w:pos="8505"/>
      </w:tabs>
      <w:spacing w:after="240" w:line="259" w:lineRule="auto"/>
      <w:jc w:val="left"/>
    </w:pPr>
    <w:rPr>
      <w:rFonts w:ascii="Century Gothic" w:hAnsi="Century Gothic"/>
      <w:b/>
      <w:bCs/>
      <w:color w:val="004976"/>
      <w:sz w:val="36"/>
      <w:szCs w:val="36"/>
    </w:rPr>
  </w:style>
  <w:style w:type="paragraph" w:customStyle="1" w:styleId="RSCH2">
    <w:name w:val="RSC H2"/>
    <w:basedOn w:val="Normal"/>
    <w:qFormat/>
    <w:rsid w:val="00B30A6E"/>
    <w:pPr>
      <w:tabs>
        <w:tab w:val="left" w:pos="426"/>
      </w:tabs>
      <w:spacing w:before="500" w:after="160" w:line="259" w:lineRule="auto"/>
      <w:jc w:val="left"/>
    </w:pPr>
    <w:rPr>
      <w:rFonts w:ascii="Century Gothic" w:hAnsi="Century Gothic"/>
      <w:b/>
      <w:bCs/>
      <w:color w:val="004976"/>
      <w:sz w:val="28"/>
      <w:szCs w:val="22"/>
    </w:rPr>
  </w:style>
  <w:style w:type="paragraph" w:customStyle="1" w:styleId="RSCH3">
    <w:name w:val="RSC H3"/>
    <w:basedOn w:val="RSCBasictext"/>
    <w:qFormat/>
    <w:rsid w:val="00B30A6E"/>
    <w:pPr>
      <w:spacing w:before="300"/>
    </w:pPr>
    <w:rPr>
      <w:b/>
      <w:bCs/>
      <w:color w:val="004976"/>
    </w:rPr>
  </w:style>
  <w:style w:type="paragraph" w:customStyle="1" w:styleId="RSCLearningobjectives">
    <w:name w:val="RSC Learning objectives"/>
    <w:basedOn w:val="Normal"/>
    <w:qFormat/>
    <w:rsid w:val="00B30A6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B30A6E"/>
    <w:pPr>
      <w:tabs>
        <w:tab w:val="left" w:pos="8789"/>
      </w:tabs>
      <w:spacing w:after="240" w:line="259" w:lineRule="auto"/>
      <w:jc w:val="right"/>
    </w:pPr>
    <w:rPr>
      <w:rFonts w:ascii="Century Gothic" w:hAnsi="Century Gothic"/>
      <w:b/>
      <w:color w:val="004976"/>
      <w:sz w:val="18"/>
      <w:szCs w:val="22"/>
    </w:rPr>
  </w:style>
  <w:style w:type="paragraph" w:customStyle="1" w:styleId="RSCnumberedlist">
    <w:name w:val="RSC numbered list"/>
    <w:basedOn w:val="Normal"/>
    <w:qFormat/>
    <w:rsid w:val="00B30A6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2549BE"/>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5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styleId="UnresolvedMention">
    <w:name w:val="Unresolved Mention"/>
    <w:basedOn w:val="DefaultParagraphFont"/>
    <w:uiPriority w:val="99"/>
    <w:semiHidden/>
    <w:unhideWhenUsed/>
    <w:rsid w:val="00905E09"/>
    <w:rPr>
      <w:color w:val="605E5C"/>
      <w:shd w:val="clear" w:color="auto" w:fill="E1DFDD"/>
    </w:rPr>
  </w:style>
  <w:style w:type="character" w:styleId="IntenseEmphasis">
    <w:name w:val="Intense Emphasis"/>
    <w:basedOn w:val="DefaultParagraphFont"/>
    <w:uiPriority w:val="21"/>
    <w:qFormat/>
    <w:rsid w:val="005A5001"/>
    <w:rPr>
      <w:i/>
      <w:iCs/>
      <w:color w:val="991E66" w:themeColor="accent1"/>
    </w:rPr>
  </w:style>
  <w:style w:type="paragraph" w:styleId="ListParagraph">
    <w:name w:val="List Paragraph"/>
    <w:basedOn w:val="Normal"/>
    <w:uiPriority w:val="34"/>
    <w:qFormat/>
    <w:rsid w:val="006306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941">
      <w:bodyDiv w:val="1"/>
      <w:marLeft w:val="0"/>
      <w:marRight w:val="0"/>
      <w:marTop w:val="0"/>
      <w:marBottom w:val="0"/>
      <w:divBdr>
        <w:top w:val="none" w:sz="0" w:space="0" w:color="auto"/>
        <w:left w:val="none" w:sz="0" w:space="0" w:color="auto"/>
        <w:bottom w:val="none" w:sz="0" w:space="0" w:color="auto"/>
        <w:right w:val="none" w:sz="0" w:space="0" w:color="auto"/>
      </w:divBdr>
    </w:div>
    <w:div w:id="96678071">
      <w:bodyDiv w:val="1"/>
      <w:marLeft w:val="0"/>
      <w:marRight w:val="0"/>
      <w:marTop w:val="0"/>
      <w:marBottom w:val="0"/>
      <w:divBdr>
        <w:top w:val="none" w:sz="0" w:space="0" w:color="auto"/>
        <w:left w:val="none" w:sz="0" w:space="0" w:color="auto"/>
        <w:bottom w:val="none" w:sz="0" w:space="0" w:color="auto"/>
        <w:right w:val="none" w:sz="0" w:space="0" w:color="auto"/>
      </w:divBdr>
    </w:div>
    <w:div w:id="177503356">
      <w:bodyDiv w:val="1"/>
      <w:marLeft w:val="0"/>
      <w:marRight w:val="0"/>
      <w:marTop w:val="0"/>
      <w:marBottom w:val="0"/>
      <w:divBdr>
        <w:top w:val="none" w:sz="0" w:space="0" w:color="auto"/>
        <w:left w:val="none" w:sz="0" w:space="0" w:color="auto"/>
        <w:bottom w:val="none" w:sz="0" w:space="0" w:color="auto"/>
        <w:right w:val="none" w:sz="0" w:space="0" w:color="auto"/>
      </w:divBdr>
    </w:div>
    <w:div w:id="431436676">
      <w:bodyDiv w:val="1"/>
      <w:marLeft w:val="0"/>
      <w:marRight w:val="0"/>
      <w:marTop w:val="0"/>
      <w:marBottom w:val="0"/>
      <w:divBdr>
        <w:top w:val="none" w:sz="0" w:space="0" w:color="auto"/>
        <w:left w:val="none" w:sz="0" w:space="0" w:color="auto"/>
        <w:bottom w:val="none" w:sz="0" w:space="0" w:color="auto"/>
        <w:right w:val="none" w:sz="0" w:space="0" w:color="auto"/>
      </w:divBdr>
    </w:div>
    <w:div w:id="713578213">
      <w:bodyDiv w:val="1"/>
      <w:marLeft w:val="0"/>
      <w:marRight w:val="0"/>
      <w:marTop w:val="0"/>
      <w:marBottom w:val="0"/>
      <w:divBdr>
        <w:top w:val="none" w:sz="0" w:space="0" w:color="auto"/>
        <w:left w:val="none" w:sz="0" w:space="0" w:color="auto"/>
        <w:bottom w:val="none" w:sz="0" w:space="0" w:color="auto"/>
        <w:right w:val="none" w:sz="0" w:space="0" w:color="auto"/>
      </w:divBdr>
    </w:div>
    <w:div w:id="818183212">
      <w:bodyDiv w:val="1"/>
      <w:marLeft w:val="0"/>
      <w:marRight w:val="0"/>
      <w:marTop w:val="0"/>
      <w:marBottom w:val="0"/>
      <w:divBdr>
        <w:top w:val="none" w:sz="0" w:space="0" w:color="auto"/>
        <w:left w:val="none" w:sz="0" w:space="0" w:color="auto"/>
        <w:bottom w:val="none" w:sz="0" w:space="0" w:color="auto"/>
        <w:right w:val="none" w:sz="0" w:space="0" w:color="auto"/>
      </w:divBdr>
    </w:div>
    <w:div w:id="1252394981">
      <w:bodyDiv w:val="1"/>
      <w:marLeft w:val="0"/>
      <w:marRight w:val="0"/>
      <w:marTop w:val="0"/>
      <w:marBottom w:val="0"/>
      <w:divBdr>
        <w:top w:val="none" w:sz="0" w:space="0" w:color="auto"/>
        <w:left w:val="none" w:sz="0" w:space="0" w:color="auto"/>
        <w:bottom w:val="none" w:sz="0" w:space="0" w:color="auto"/>
        <w:right w:val="none" w:sz="0" w:space="0" w:color="auto"/>
      </w:divBdr>
    </w:div>
    <w:div w:id="1518808825">
      <w:bodyDiv w:val="1"/>
      <w:marLeft w:val="0"/>
      <w:marRight w:val="0"/>
      <w:marTop w:val="0"/>
      <w:marBottom w:val="0"/>
      <w:divBdr>
        <w:top w:val="none" w:sz="0" w:space="0" w:color="auto"/>
        <w:left w:val="none" w:sz="0" w:space="0" w:color="auto"/>
        <w:bottom w:val="none" w:sz="0" w:space="0" w:color="auto"/>
        <w:right w:val="none" w:sz="0" w:space="0" w:color="auto"/>
      </w:divBdr>
    </w:div>
    <w:div w:id="2058387142">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FkGYi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sc.li/3S5OK77" TargetMode="External"/><Relationship Id="rId4" Type="http://schemas.openxmlformats.org/officeDocument/2006/relationships/settings" Target="settings.xml"/><Relationship Id="rId9" Type="http://schemas.openxmlformats.org/officeDocument/2006/relationships/hyperlink" Target="https://bit.ly/46MzwY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rsc.li/3FkGYi6" TargetMode="External"/></Relationships>
</file>

<file path=word/theme/theme1.xml><?xml version="1.0" encoding="utf-8"?>
<a:theme xmlns:a="http://schemas.openxmlformats.org/drawingml/2006/main" name="Office Theme">
  <a:themeElements>
    <a:clrScheme name="EiC plum">
      <a:dk1>
        <a:sysClr val="windowText" lastClr="000000"/>
      </a:dk1>
      <a:lt1>
        <a:sysClr val="window" lastClr="FFFFFF"/>
      </a:lt1>
      <a:dk2>
        <a:srgbClr val="44546A"/>
      </a:dk2>
      <a:lt2>
        <a:srgbClr val="E7E6E6"/>
      </a:lt2>
      <a:accent1>
        <a:srgbClr val="991E6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BEB7-6C57-4F20-AD56-590B2E448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2802</TotalTime>
  <Pages>3</Pages>
  <Words>864</Words>
  <Characters>4567</Characters>
  <Application>Microsoft Office Word</Application>
  <DocSecurity>0</DocSecurity>
  <Lines>123</Lines>
  <Paragraphs>40</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5391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 of the blue</dc:title>
  <dc:subject/>
  <dc:creator>Royal Society Of Chemistry</dc:creator>
  <cp:keywords>reversible reaction, transition metal chemistry, colour changing reaction, catalysis, copper chemistry, redox</cp:keywords>
  <dc:description>From Education in Chemistry's Exhibition Chemistry series, available at https://rsc.li/3FkGYi6</dc:description>
  <cp:lastModifiedBy>Anastasia Marsh</cp:lastModifiedBy>
  <cp:revision>12</cp:revision>
  <dcterms:created xsi:type="dcterms:W3CDTF">2023-10-13T17:03:00Z</dcterms:created>
  <dcterms:modified xsi:type="dcterms:W3CDTF">2023-10-16T07:24:00Z</dcterms:modified>
  <cp:category/>
</cp:coreProperties>
</file>