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558120A5" w:rsidR="005F286E" w:rsidRPr="003B7300" w:rsidRDefault="00442B44" w:rsidP="00CF6E3E">
      <w:pPr>
        <w:pStyle w:val="RSCH1"/>
        <w:rPr>
          <w:color w:val="991E66"/>
        </w:rPr>
      </w:pPr>
      <w:r>
        <w:rPr>
          <w:color w:val="991E66"/>
        </w:rPr>
        <w:t>Luminol lighthouse</w:t>
      </w:r>
    </w:p>
    <w:p w14:paraId="665E0536" w14:textId="7C2B4FBF"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r w:rsidR="00442B44">
        <w:rPr>
          <w:rFonts w:ascii="Century Gothic" w:eastAsia="Calibri" w:hAnsi="Century Gothic" w:cs="Calibri"/>
          <w:b/>
          <w:color w:val="222222"/>
          <w:sz w:val="22"/>
          <w:szCs w:val="22"/>
        </w:rPr>
        <w:t>Luminol lighthouse</w:t>
      </w:r>
      <w:r w:rsidR="00104CB2">
        <w:rPr>
          <w:rFonts w:ascii="Century Gothic" w:eastAsia="Calibri" w:hAnsi="Century Gothic" w:cs="Calibri"/>
          <w:b/>
          <w:color w:val="222222"/>
          <w:sz w:val="22"/>
          <w:szCs w:val="22"/>
        </w:rPr>
        <w:t xml:space="preserve"> </w:t>
      </w:r>
      <w:r w:rsidR="00104CB2">
        <w:rPr>
          <w:rFonts w:ascii="Century Gothic" w:hAnsi="Century Gothic"/>
          <w:sz w:val="22"/>
          <w:szCs w:val="22"/>
          <w:lang w:eastAsia="en-GB"/>
        </w:rPr>
        <w:t>from</w:t>
      </w:r>
      <w:r w:rsidR="001A278F" w:rsidRPr="000878DA">
        <w:rPr>
          <w:rFonts w:ascii="Century Gothic" w:hAnsi="Century Gothic"/>
          <w:sz w:val="22"/>
          <w:szCs w:val="22"/>
          <w:lang w:eastAsia="en-GB"/>
        </w:rPr>
        <w:t xml:space="preserve"> </w:t>
      </w:r>
      <w:r w:rsidR="001A278F" w:rsidRPr="000878DA">
        <w:rPr>
          <w:rFonts w:ascii="Century Gothic" w:hAnsi="Century Gothic"/>
          <w:i/>
          <w:iCs/>
          <w:sz w:val="22"/>
          <w:szCs w:val="22"/>
          <w:lang w:eastAsia="en-GB"/>
        </w:rPr>
        <w:t>Education in Chemistry</w:t>
      </w:r>
      <w:r w:rsidR="001A278F" w:rsidRPr="000878DA">
        <w:rPr>
          <w:rFonts w:ascii="Century Gothic" w:hAnsi="Century Gothic"/>
          <w:sz w:val="22"/>
          <w:szCs w:val="22"/>
          <w:lang w:eastAsia="en-GB"/>
        </w:rPr>
        <w:t xml:space="preserve"> which can be viewed at: </w:t>
      </w:r>
      <w:hyperlink r:id="rId8" w:history="1">
        <w:r w:rsidR="00682C7C" w:rsidRPr="008D4F6D">
          <w:rPr>
            <w:rStyle w:val="Hyperlink"/>
            <w:rFonts w:ascii="Century Gothic" w:hAnsi="Century Gothic"/>
            <w:sz w:val="22"/>
            <w:szCs w:val="22"/>
            <w:lang w:eastAsia="en-GB"/>
          </w:rPr>
          <w:t>https://rsc.li/3Nm4e3q</w:t>
        </w:r>
      </w:hyperlink>
    </w:p>
    <w:p w14:paraId="09D461E4" w14:textId="77777777" w:rsidR="00442B44" w:rsidRDefault="00442B44" w:rsidP="00BC0911">
      <w:pPr>
        <w:pStyle w:val="RSCH2"/>
        <w:spacing w:before="0"/>
        <w:rPr>
          <w:b w:val="0"/>
          <w:bCs w:val="0"/>
          <w:color w:val="auto"/>
          <w:sz w:val="22"/>
          <w:lang w:eastAsia="en-GB"/>
        </w:rPr>
      </w:pPr>
      <w:r w:rsidRPr="00442B44">
        <w:rPr>
          <w:b w:val="0"/>
          <w:bCs w:val="0"/>
          <w:color w:val="auto"/>
          <w:sz w:val="22"/>
          <w:lang w:eastAsia="en-GB"/>
        </w:rPr>
        <w:t xml:space="preserve">I was looking for details on oscillating reactions and discovered that not only do changes in colour, sound and heat oscillate, but flashes of light can also oscillate, creating an eerie lighthouse effect. Like all chemiluminescent reactions, this reaction works best in a darkened room. </w:t>
      </w:r>
    </w:p>
    <w:p w14:paraId="3D4CC486" w14:textId="4CC3AD18" w:rsidR="0009292F" w:rsidRDefault="00446F05" w:rsidP="00104CB2">
      <w:pPr>
        <w:pStyle w:val="RSCH2"/>
        <w:rPr>
          <w:color w:val="8E1055"/>
          <w:lang w:eastAsia="en-GB"/>
        </w:rPr>
      </w:pPr>
      <w:r>
        <w:rPr>
          <w:color w:val="8E1055"/>
          <w:lang w:eastAsia="en-GB"/>
        </w:rPr>
        <w:t>L</w:t>
      </w:r>
      <w:r w:rsidR="0009292F">
        <w:rPr>
          <w:color w:val="8E1055"/>
          <w:lang w:eastAsia="en-GB"/>
        </w:rPr>
        <w:t>evel</w:t>
      </w:r>
    </w:p>
    <w:p w14:paraId="62B00222" w14:textId="73D65920" w:rsidR="0009292F" w:rsidRDefault="00446F05" w:rsidP="0009292F">
      <w:pPr>
        <w:pStyle w:val="RSC2-columntabs"/>
        <w:rPr>
          <w:lang w:eastAsia="en-GB"/>
        </w:rPr>
      </w:pPr>
      <w:r>
        <w:rPr>
          <w:lang w:eastAsia="en-GB"/>
        </w:rPr>
        <w:t xml:space="preserve">This demonstration is ideally suited to lessons on </w:t>
      </w:r>
      <w:r w:rsidR="0031746B">
        <w:rPr>
          <w:lang w:eastAsia="en-GB"/>
        </w:rPr>
        <w:t>catalysis and transition metal chemistry</w:t>
      </w:r>
      <w:r>
        <w:rPr>
          <w:lang w:eastAsia="en-GB"/>
        </w:rPr>
        <w:t xml:space="preserve"> for learners</w:t>
      </w:r>
      <w:r w:rsidR="0009292F">
        <w:rPr>
          <w:lang w:eastAsia="en-GB"/>
        </w:rPr>
        <w:t xml:space="preserve"> aged 1</w:t>
      </w:r>
      <w:r w:rsidR="0031746B">
        <w:rPr>
          <w:lang w:eastAsia="en-GB"/>
        </w:rPr>
        <w:t>6</w:t>
      </w:r>
      <w:r w:rsidR="0009292F">
        <w:rPr>
          <w:lang w:eastAsia="en-GB"/>
        </w:rPr>
        <w:t>–1</w:t>
      </w:r>
      <w:r w:rsidR="0031746B">
        <w:rPr>
          <w:lang w:eastAsia="en-GB"/>
        </w:rPr>
        <w:t>8</w:t>
      </w:r>
      <w:r>
        <w:rPr>
          <w:lang w:eastAsia="en-GB"/>
        </w:rPr>
        <w:t>.</w:t>
      </w:r>
      <w:r w:rsidR="0009292F">
        <w:rPr>
          <w:lang w:eastAsia="en-GB"/>
        </w:rPr>
        <w:t xml:space="preserve"> </w:t>
      </w:r>
    </w:p>
    <w:p w14:paraId="4449B9EA" w14:textId="45B6AEAF" w:rsidR="00104CB2" w:rsidRDefault="00104CB2" w:rsidP="00104CB2">
      <w:pPr>
        <w:pStyle w:val="RSCH2"/>
        <w:rPr>
          <w:color w:val="8E1055"/>
          <w:lang w:eastAsia="en-GB"/>
        </w:rPr>
      </w:pPr>
      <w:r w:rsidRPr="00104CB2">
        <w:rPr>
          <w:color w:val="8E1055"/>
          <w:lang w:eastAsia="en-GB"/>
        </w:rPr>
        <w:t>Equipment</w:t>
      </w:r>
    </w:p>
    <w:p w14:paraId="163D1B26" w14:textId="77777777" w:rsidR="00D16C6F" w:rsidRPr="00D16C6F" w:rsidRDefault="00D16C6F" w:rsidP="00D16C6F">
      <w:pPr>
        <w:pStyle w:val="ListParagraph"/>
        <w:numPr>
          <w:ilvl w:val="0"/>
          <w:numId w:val="22"/>
        </w:numPr>
        <w:rPr>
          <w:rFonts w:ascii="Century Gothic" w:hAnsi="Century Gothic"/>
          <w:sz w:val="22"/>
          <w:szCs w:val="22"/>
          <w:lang w:eastAsia="en-GB"/>
        </w:rPr>
      </w:pPr>
      <w:r w:rsidRPr="00D16C6F">
        <w:rPr>
          <w:rFonts w:ascii="Century Gothic" w:hAnsi="Century Gothic"/>
          <w:sz w:val="22"/>
          <w:szCs w:val="22"/>
          <w:lang w:eastAsia="en-GB"/>
        </w:rPr>
        <w:t>6 cm</w:t>
      </w:r>
      <w:r w:rsidRPr="00D16C6F">
        <w:rPr>
          <w:rFonts w:ascii="Century Gothic" w:hAnsi="Century Gothic"/>
          <w:sz w:val="22"/>
          <w:szCs w:val="22"/>
          <w:vertAlign w:val="superscript"/>
          <w:lang w:eastAsia="en-GB"/>
        </w:rPr>
        <w:t>3</w:t>
      </w:r>
      <w:r w:rsidRPr="00D16C6F">
        <w:rPr>
          <w:rFonts w:ascii="Century Gothic" w:hAnsi="Century Gothic"/>
          <w:sz w:val="22"/>
          <w:szCs w:val="22"/>
          <w:lang w:eastAsia="en-GB"/>
        </w:rPr>
        <w:t xml:space="preserve"> of 30% (100 vol) hydrogen peroxide and 43 cm</w:t>
      </w:r>
      <w:r w:rsidRPr="00D16C6F">
        <w:rPr>
          <w:rFonts w:ascii="Century Gothic" w:hAnsi="Century Gothic"/>
          <w:sz w:val="22"/>
          <w:szCs w:val="22"/>
          <w:vertAlign w:val="superscript"/>
          <w:lang w:eastAsia="en-GB"/>
        </w:rPr>
        <w:t>3</w:t>
      </w:r>
      <w:r w:rsidRPr="00D16C6F">
        <w:rPr>
          <w:rFonts w:ascii="Century Gothic" w:hAnsi="Century Gothic"/>
          <w:sz w:val="22"/>
          <w:szCs w:val="22"/>
          <w:lang w:eastAsia="en-GB"/>
        </w:rPr>
        <w:t xml:space="preserve"> deionised water (for solution A)</w:t>
      </w:r>
    </w:p>
    <w:p w14:paraId="1B80EB4F" w14:textId="77777777" w:rsidR="00D16C6F" w:rsidRDefault="00D16C6F" w:rsidP="00307510">
      <w:pPr>
        <w:pStyle w:val="RSCBulletedlist"/>
        <w:numPr>
          <w:ilvl w:val="0"/>
          <w:numId w:val="22"/>
        </w:numPr>
        <w:spacing w:line="256" w:lineRule="auto"/>
        <w:rPr>
          <w:lang w:eastAsia="en-GB"/>
        </w:rPr>
      </w:pPr>
      <w:r w:rsidRPr="00D16C6F">
        <w:rPr>
          <w:lang w:eastAsia="en-GB"/>
        </w:rPr>
        <w:t>0.73 g potassium thiocyanate and 50 cm</w:t>
      </w:r>
      <w:r w:rsidRPr="00D16C6F">
        <w:rPr>
          <w:vertAlign w:val="superscript"/>
          <w:lang w:eastAsia="en-GB"/>
        </w:rPr>
        <w:t>3</w:t>
      </w:r>
      <w:r w:rsidRPr="00D16C6F">
        <w:rPr>
          <w:lang w:eastAsia="en-GB"/>
        </w:rPr>
        <w:t xml:space="preserve"> of water (for solution B)</w:t>
      </w:r>
    </w:p>
    <w:p w14:paraId="31CC998C" w14:textId="5D3AD812" w:rsidR="00D16C6F" w:rsidRDefault="00D16C6F" w:rsidP="00414DC8">
      <w:pPr>
        <w:pStyle w:val="RSCBulletedlist"/>
        <w:numPr>
          <w:ilvl w:val="0"/>
          <w:numId w:val="22"/>
        </w:numPr>
        <w:spacing w:line="256" w:lineRule="auto"/>
        <w:rPr>
          <w:lang w:eastAsia="en-GB"/>
        </w:rPr>
      </w:pPr>
      <w:r w:rsidRPr="00D16C6F">
        <w:rPr>
          <w:lang w:eastAsia="en-GB"/>
        </w:rPr>
        <w:t xml:space="preserve">0.015 g of copper </w:t>
      </w:r>
      <w:proofErr w:type="spellStart"/>
      <w:r w:rsidRPr="00D16C6F">
        <w:rPr>
          <w:lang w:eastAsia="en-GB"/>
        </w:rPr>
        <w:t>sulfate</w:t>
      </w:r>
      <w:proofErr w:type="spellEnd"/>
      <w:r w:rsidRPr="00D16C6F">
        <w:rPr>
          <w:lang w:eastAsia="en-GB"/>
        </w:rPr>
        <w:t xml:space="preserve"> pentahydrate salt and 100 cm</w:t>
      </w:r>
      <w:r w:rsidRPr="00D16C6F">
        <w:rPr>
          <w:vertAlign w:val="superscript"/>
          <w:lang w:eastAsia="en-GB"/>
        </w:rPr>
        <w:t>3</w:t>
      </w:r>
      <w:r w:rsidRPr="00D16C6F">
        <w:rPr>
          <w:lang w:eastAsia="en-GB"/>
        </w:rPr>
        <w:t xml:space="preserve"> of water (for solution C)</w:t>
      </w:r>
    </w:p>
    <w:p w14:paraId="480FFA62" w14:textId="7C87A48B" w:rsidR="00D16C6F" w:rsidRDefault="00D16C6F" w:rsidP="00414DC8">
      <w:pPr>
        <w:pStyle w:val="RSCBulletedlist"/>
        <w:numPr>
          <w:ilvl w:val="0"/>
          <w:numId w:val="22"/>
        </w:numPr>
        <w:spacing w:line="256" w:lineRule="auto"/>
        <w:rPr>
          <w:lang w:eastAsia="en-GB"/>
        </w:rPr>
      </w:pPr>
      <w:r w:rsidRPr="00D16C6F">
        <w:rPr>
          <w:lang w:eastAsia="en-GB"/>
        </w:rPr>
        <w:t>0.06 g luminol and 50 cm</w:t>
      </w:r>
      <w:r w:rsidRPr="00D16C6F">
        <w:rPr>
          <w:vertAlign w:val="superscript"/>
          <w:lang w:eastAsia="en-GB"/>
        </w:rPr>
        <w:t>3</w:t>
      </w:r>
      <w:r w:rsidRPr="00D16C6F">
        <w:rPr>
          <w:lang w:eastAsia="en-GB"/>
        </w:rPr>
        <w:t xml:space="preserve"> of 0.1 M sodium hydroxide (for solution D)</w:t>
      </w:r>
    </w:p>
    <w:p w14:paraId="6FAEB9F0" w14:textId="6708A0E0" w:rsidR="00D16C6F" w:rsidRDefault="00D16C6F" w:rsidP="00414DC8">
      <w:pPr>
        <w:pStyle w:val="RSCBulletedlist"/>
        <w:numPr>
          <w:ilvl w:val="0"/>
          <w:numId w:val="22"/>
        </w:numPr>
        <w:spacing w:line="256" w:lineRule="auto"/>
        <w:rPr>
          <w:lang w:eastAsia="en-GB"/>
        </w:rPr>
      </w:pPr>
      <w:r w:rsidRPr="00D16C6F">
        <w:rPr>
          <w:lang w:eastAsia="en-GB"/>
        </w:rPr>
        <w:t>500 cm</w:t>
      </w:r>
      <w:r w:rsidRPr="00D16C6F">
        <w:rPr>
          <w:vertAlign w:val="superscript"/>
          <w:lang w:eastAsia="en-GB"/>
        </w:rPr>
        <w:t>3</w:t>
      </w:r>
      <w:r w:rsidRPr="00D16C6F">
        <w:rPr>
          <w:lang w:eastAsia="en-GB"/>
        </w:rPr>
        <w:t xml:space="preserve"> demonstration flask (a beaker, conical or similar)</w:t>
      </w:r>
    </w:p>
    <w:p w14:paraId="734E8CF0" w14:textId="3565F960" w:rsidR="00D16C6F" w:rsidRDefault="00D16C6F" w:rsidP="00414DC8">
      <w:pPr>
        <w:pStyle w:val="RSCBulletedlist"/>
        <w:numPr>
          <w:ilvl w:val="0"/>
          <w:numId w:val="22"/>
        </w:numPr>
        <w:spacing w:line="256" w:lineRule="auto"/>
        <w:rPr>
          <w:lang w:eastAsia="en-GB"/>
        </w:rPr>
      </w:pPr>
      <w:r w:rsidRPr="00D16C6F">
        <w:rPr>
          <w:lang w:eastAsia="en-GB"/>
        </w:rPr>
        <w:t>3 x 100 cm</w:t>
      </w:r>
      <w:r w:rsidRPr="00D16C6F">
        <w:rPr>
          <w:vertAlign w:val="superscript"/>
          <w:lang w:eastAsia="en-GB"/>
        </w:rPr>
        <w:t>3</w:t>
      </w:r>
      <w:r w:rsidRPr="00D16C6F">
        <w:rPr>
          <w:lang w:eastAsia="en-GB"/>
        </w:rPr>
        <w:t xml:space="preserve"> beakers</w:t>
      </w:r>
    </w:p>
    <w:p w14:paraId="79930567" w14:textId="3F28A97F" w:rsidR="00D16C6F" w:rsidRDefault="00D16C6F" w:rsidP="00414DC8">
      <w:pPr>
        <w:pStyle w:val="RSCBulletedlist"/>
        <w:numPr>
          <w:ilvl w:val="0"/>
          <w:numId w:val="22"/>
        </w:numPr>
        <w:spacing w:line="256" w:lineRule="auto"/>
        <w:rPr>
          <w:lang w:eastAsia="en-GB"/>
        </w:rPr>
      </w:pPr>
      <w:r w:rsidRPr="00D16C6F">
        <w:rPr>
          <w:lang w:eastAsia="en-GB"/>
        </w:rPr>
        <w:t>2 L beaker (for a water bath)</w:t>
      </w:r>
    </w:p>
    <w:p w14:paraId="619FD05B" w14:textId="1F652C26" w:rsidR="00D16C6F" w:rsidRDefault="00D16C6F" w:rsidP="00414DC8">
      <w:pPr>
        <w:pStyle w:val="RSCBulletedlist"/>
        <w:numPr>
          <w:ilvl w:val="0"/>
          <w:numId w:val="22"/>
        </w:numPr>
        <w:spacing w:line="256" w:lineRule="auto"/>
        <w:rPr>
          <w:lang w:eastAsia="en-GB"/>
        </w:rPr>
      </w:pPr>
      <w:r w:rsidRPr="00D16C6F">
        <w:rPr>
          <w:lang w:eastAsia="en-GB"/>
        </w:rPr>
        <w:t>Kettle</w:t>
      </w:r>
    </w:p>
    <w:p w14:paraId="5BB20AA8" w14:textId="03D0B6F3" w:rsidR="00D16C6F" w:rsidRDefault="00D16C6F" w:rsidP="00414DC8">
      <w:pPr>
        <w:pStyle w:val="RSCBulletedlist"/>
        <w:numPr>
          <w:ilvl w:val="0"/>
          <w:numId w:val="22"/>
        </w:numPr>
        <w:spacing w:line="256" w:lineRule="auto"/>
        <w:rPr>
          <w:lang w:eastAsia="en-GB"/>
        </w:rPr>
      </w:pPr>
      <w:r w:rsidRPr="00D16C6F">
        <w:rPr>
          <w:lang w:eastAsia="en-GB"/>
        </w:rPr>
        <w:t>Magnetic stirrer and stirrer bar</w:t>
      </w:r>
    </w:p>
    <w:p w14:paraId="60177E25" w14:textId="567F8110" w:rsidR="00E151AA" w:rsidRDefault="00E151AA" w:rsidP="00414DC8">
      <w:pPr>
        <w:pStyle w:val="RSCBulletedlist"/>
        <w:numPr>
          <w:ilvl w:val="0"/>
          <w:numId w:val="22"/>
        </w:numPr>
        <w:spacing w:line="256" w:lineRule="auto"/>
        <w:rPr>
          <w:lang w:eastAsia="en-GB"/>
        </w:rPr>
      </w:pPr>
      <w:r>
        <w:rPr>
          <w:lang w:eastAsia="en-GB"/>
        </w:rPr>
        <w:t>Thermometer</w:t>
      </w:r>
    </w:p>
    <w:p w14:paraId="4B7FAE82" w14:textId="24E5D020" w:rsidR="00104CB2" w:rsidRDefault="00307510" w:rsidP="00104CB2">
      <w:pPr>
        <w:pStyle w:val="RSCH2"/>
        <w:rPr>
          <w:color w:val="8E1055"/>
          <w:lang w:eastAsia="en-GB"/>
        </w:rPr>
      </w:pPr>
      <w:r>
        <w:rPr>
          <w:color w:val="8E1055"/>
          <w:lang w:eastAsia="en-GB"/>
        </w:rPr>
        <w:t>Preparation</w:t>
      </w:r>
    </w:p>
    <w:p w14:paraId="7459CE1F" w14:textId="53CF8A07" w:rsidR="00BC0911" w:rsidRPr="00BC0911" w:rsidRDefault="00BC0911" w:rsidP="00BC0911">
      <w:pPr>
        <w:pStyle w:val="RSCH2"/>
        <w:spacing w:before="0"/>
        <w:rPr>
          <w:b w:val="0"/>
          <w:bCs w:val="0"/>
          <w:color w:val="auto"/>
          <w:sz w:val="22"/>
          <w:lang w:eastAsia="en-GB"/>
        </w:rPr>
      </w:pPr>
      <w:r w:rsidRPr="00BC0911">
        <w:rPr>
          <w:b w:val="0"/>
          <w:bCs w:val="0"/>
          <w:color w:val="auto"/>
          <w:sz w:val="22"/>
          <w:lang w:eastAsia="en-GB"/>
        </w:rPr>
        <w:t>These instructions make a 250 cm</w:t>
      </w:r>
      <w:r w:rsidRPr="004B6770">
        <w:rPr>
          <w:b w:val="0"/>
          <w:bCs w:val="0"/>
          <w:color w:val="auto"/>
          <w:sz w:val="22"/>
          <w:vertAlign w:val="superscript"/>
          <w:lang w:eastAsia="en-GB"/>
        </w:rPr>
        <w:t>3</w:t>
      </w:r>
      <w:r w:rsidRPr="00BC0911">
        <w:rPr>
          <w:b w:val="0"/>
          <w:bCs w:val="0"/>
          <w:color w:val="auto"/>
          <w:sz w:val="22"/>
          <w:lang w:eastAsia="en-GB"/>
        </w:rPr>
        <w:t xml:space="preserve"> reaction, but it can be scaled up for a larger audience. Make up the following:</w:t>
      </w:r>
    </w:p>
    <w:p w14:paraId="344578EB" w14:textId="622B9D46" w:rsidR="00BC0911" w:rsidRPr="00BC0911" w:rsidRDefault="00BC0911" w:rsidP="00BC0911">
      <w:pPr>
        <w:pStyle w:val="RSCH2"/>
        <w:numPr>
          <w:ilvl w:val="0"/>
          <w:numId w:val="25"/>
        </w:numPr>
        <w:spacing w:before="0"/>
        <w:rPr>
          <w:b w:val="0"/>
          <w:bCs w:val="0"/>
          <w:color w:val="auto"/>
          <w:sz w:val="22"/>
          <w:lang w:eastAsia="en-GB"/>
        </w:rPr>
      </w:pPr>
      <w:r w:rsidRPr="00BC0911">
        <w:rPr>
          <w:b w:val="0"/>
          <w:bCs w:val="0"/>
          <w:color w:val="auto"/>
          <w:sz w:val="22"/>
          <w:lang w:eastAsia="en-GB"/>
        </w:rPr>
        <w:t>Solution A: dilute 6 cm</w:t>
      </w:r>
      <w:r w:rsidRPr="00BC0911">
        <w:rPr>
          <w:b w:val="0"/>
          <w:bCs w:val="0"/>
          <w:color w:val="auto"/>
          <w:sz w:val="22"/>
          <w:vertAlign w:val="superscript"/>
          <w:lang w:eastAsia="en-GB"/>
        </w:rPr>
        <w:t>3</w:t>
      </w:r>
      <w:r w:rsidRPr="00BC0911">
        <w:rPr>
          <w:b w:val="0"/>
          <w:bCs w:val="0"/>
          <w:color w:val="auto"/>
          <w:sz w:val="22"/>
          <w:lang w:eastAsia="en-GB"/>
        </w:rPr>
        <w:t xml:space="preserve"> of 30% (100 vol) hydrogen peroxide to 50 cm</w:t>
      </w:r>
      <w:r w:rsidRPr="00BC0911">
        <w:rPr>
          <w:b w:val="0"/>
          <w:bCs w:val="0"/>
          <w:color w:val="auto"/>
          <w:sz w:val="22"/>
          <w:vertAlign w:val="superscript"/>
          <w:lang w:eastAsia="en-GB"/>
        </w:rPr>
        <w:t>3</w:t>
      </w:r>
      <w:r w:rsidRPr="00BC0911">
        <w:rPr>
          <w:b w:val="0"/>
          <w:bCs w:val="0"/>
          <w:color w:val="auto"/>
          <w:sz w:val="22"/>
          <w:lang w:eastAsia="en-GB"/>
        </w:rPr>
        <w:t xml:space="preserve"> water to make a 1 M hydrogen peroxide solution</w:t>
      </w:r>
      <w:r>
        <w:rPr>
          <w:b w:val="0"/>
          <w:bCs w:val="0"/>
          <w:color w:val="auto"/>
          <w:sz w:val="22"/>
          <w:lang w:eastAsia="en-GB"/>
        </w:rPr>
        <w:t>.</w:t>
      </w:r>
    </w:p>
    <w:p w14:paraId="683C9A5F" w14:textId="77777777" w:rsidR="00BC0911" w:rsidRPr="00BC0911" w:rsidRDefault="00BC0911" w:rsidP="00BC0911">
      <w:pPr>
        <w:pStyle w:val="RSCH2"/>
        <w:numPr>
          <w:ilvl w:val="0"/>
          <w:numId w:val="25"/>
        </w:numPr>
        <w:spacing w:before="0"/>
        <w:rPr>
          <w:b w:val="0"/>
          <w:bCs w:val="0"/>
          <w:color w:val="auto"/>
          <w:sz w:val="22"/>
          <w:lang w:eastAsia="en-GB"/>
        </w:rPr>
      </w:pPr>
      <w:r w:rsidRPr="00BC0911">
        <w:rPr>
          <w:b w:val="0"/>
          <w:bCs w:val="0"/>
          <w:color w:val="auto"/>
          <w:sz w:val="22"/>
          <w:lang w:eastAsia="en-GB"/>
        </w:rPr>
        <w:t>Solution B: dissolve 0.73 g of potassium thiocyanate in 50 cm</w:t>
      </w:r>
      <w:r w:rsidRPr="00BC0911">
        <w:rPr>
          <w:b w:val="0"/>
          <w:bCs w:val="0"/>
          <w:color w:val="auto"/>
          <w:sz w:val="22"/>
          <w:vertAlign w:val="superscript"/>
          <w:lang w:eastAsia="en-GB"/>
        </w:rPr>
        <w:t>3</w:t>
      </w:r>
      <w:r w:rsidRPr="00BC0911">
        <w:rPr>
          <w:b w:val="0"/>
          <w:bCs w:val="0"/>
          <w:color w:val="auto"/>
          <w:sz w:val="22"/>
          <w:lang w:eastAsia="en-GB"/>
        </w:rPr>
        <w:t xml:space="preserve"> of water to make a 0.15 M potassium thiocyanate solution.</w:t>
      </w:r>
    </w:p>
    <w:p w14:paraId="77FB27E4" w14:textId="77777777" w:rsidR="00BC0911" w:rsidRPr="00BC0911" w:rsidRDefault="00BC0911" w:rsidP="00BC0911">
      <w:pPr>
        <w:pStyle w:val="RSCH2"/>
        <w:numPr>
          <w:ilvl w:val="0"/>
          <w:numId w:val="25"/>
        </w:numPr>
        <w:spacing w:before="0"/>
        <w:rPr>
          <w:b w:val="0"/>
          <w:bCs w:val="0"/>
          <w:color w:val="auto"/>
          <w:sz w:val="22"/>
          <w:lang w:eastAsia="en-GB"/>
        </w:rPr>
      </w:pPr>
      <w:r w:rsidRPr="00BC0911">
        <w:rPr>
          <w:b w:val="0"/>
          <w:bCs w:val="0"/>
          <w:color w:val="auto"/>
          <w:sz w:val="22"/>
          <w:lang w:eastAsia="en-GB"/>
        </w:rPr>
        <w:t xml:space="preserve">Solution C: dissolve 0.015 g of copper </w:t>
      </w:r>
      <w:proofErr w:type="spellStart"/>
      <w:r w:rsidRPr="00BC0911">
        <w:rPr>
          <w:b w:val="0"/>
          <w:bCs w:val="0"/>
          <w:color w:val="auto"/>
          <w:sz w:val="22"/>
          <w:lang w:eastAsia="en-GB"/>
        </w:rPr>
        <w:t>sulfate</w:t>
      </w:r>
      <w:proofErr w:type="spellEnd"/>
      <w:r w:rsidRPr="00BC0911">
        <w:rPr>
          <w:b w:val="0"/>
          <w:bCs w:val="0"/>
          <w:color w:val="auto"/>
          <w:sz w:val="22"/>
          <w:lang w:eastAsia="en-GB"/>
        </w:rPr>
        <w:t xml:space="preserve"> pentahydrate salt in 100 cm</w:t>
      </w:r>
      <w:r w:rsidRPr="00BC0911">
        <w:rPr>
          <w:b w:val="0"/>
          <w:bCs w:val="0"/>
          <w:color w:val="auto"/>
          <w:sz w:val="22"/>
          <w:vertAlign w:val="superscript"/>
          <w:lang w:eastAsia="en-GB"/>
        </w:rPr>
        <w:t>3</w:t>
      </w:r>
      <w:r w:rsidRPr="00BC0911">
        <w:rPr>
          <w:b w:val="0"/>
          <w:bCs w:val="0"/>
          <w:color w:val="auto"/>
          <w:sz w:val="22"/>
          <w:lang w:eastAsia="en-GB"/>
        </w:rPr>
        <w:t xml:space="preserve"> of water to make a 6 x 10</w:t>
      </w:r>
      <w:r w:rsidRPr="00BC0911">
        <w:rPr>
          <w:b w:val="0"/>
          <w:bCs w:val="0"/>
          <w:color w:val="auto"/>
          <w:sz w:val="22"/>
          <w:vertAlign w:val="superscript"/>
          <w:lang w:eastAsia="en-GB"/>
        </w:rPr>
        <w:t xml:space="preserve">–4 </w:t>
      </w:r>
      <w:r w:rsidRPr="00BC0911">
        <w:rPr>
          <w:b w:val="0"/>
          <w:bCs w:val="0"/>
          <w:color w:val="auto"/>
          <w:sz w:val="22"/>
          <w:lang w:eastAsia="en-GB"/>
        </w:rPr>
        <w:t xml:space="preserve">M </w:t>
      </w:r>
      <w:proofErr w:type="gramStart"/>
      <w:r w:rsidRPr="00BC0911">
        <w:rPr>
          <w:b w:val="0"/>
          <w:bCs w:val="0"/>
          <w:color w:val="auto"/>
          <w:sz w:val="22"/>
          <w:lang w:eastAsia="en-GB"/>
        </w:rPr>
        <w:t>copper(</w:t>
      </w:r>
      <w:proofErr w:type="gramEnd"/>
      <w:r w:rsidRPr="00BC0911">
        <w:rPr>
          <w:b w:val="0"/>
          <w:bCs w:val="0"/>
          <w:color w:val="auto"/>
          <w:sz w:val="22"/>
          <w:lang w:eastAsia="en-GB"/>
        </w:rPr>
        <w:t xml:space="preserve">II) </w:t>
      </w:r>
      <w:proofErr w:type="spellStart"/>
      <w:r w:rsidRPr="00BC0911">
        <w:rPr>
          <w:b w:val="0"/>
          <w:bCs w:val="0"/>
          <w:color w:val="auto"/>
          <w:sz w:val="22"/>
          <w:lang w:eastAsia="en-GB"/>
        </w:rPr>
        <w:t>sulfate</w:t>
      </w:r>
      <w:proofErr w:type="spellEnd"/>
      <w:r w:rsidRPr="00BC0911">
        <w:rPr>
          <w:b w:val="0"/>
          <w:bCs w:val="0"/>
          <w:color w:val="auto"/>
          <w:sz w:val="22"/>
          <w:lang w:eastAsia="en-GB"/>
        </w:rPr>
        <w:t xml:space="preserve"> solution.</w:t>
      </w:r>
    </w:p>
    <w:p w14:paraId="79365FEB" w14:textId="65A038A6" w:rsidR="00BC0911" w:rsidRPr="00BC0911" w:rsidRDefault="00BC0911" w:rsidP="00BC0911">
      <w:pPr>
        <w:pStyle w:val="RSCH2"/>
        <w:numPr>
          <w:ilvl w:val="0"/>
          <w:numId w:val="25"/>
        </w:numPr>
        <w:spacing w:before="0"/>
        <w:rPr>
          <w:b w:val="0"/>
          <w:bCs w:val="0"/>
          <w:color w:val="auto"/>
          <w:sz w:val="22"/>
          <w:lang w:eastAsia="en-GB"/>
        </w:rPr>
      </w:pPr>
      <w:r w:rsidRPr="00BC0911">
        <w:rPr>
          <w:b w:val="0"/>
          <w:bCs w:val="0"/>
          <w:color w:val="auto"/>
          <w:sz w:val="22"/>
          <w:lang w:eastAsia="en-GB"/>
        </w:rPr>
        <w:lastRenderedPageBreak/>
        <w:t>Solution D: dissolve 0.06 g of luminol in 50 cm</w:t>
      </w:r>
      <w:r w:rsidRPr="00BC0911">
        <w:rPr>
          <w:b w:val="0"/>
          <w:bCs w:val="0"/>
          <w:color w:val="auto"/>
          <w:sz w:val="22"/>
          <w:vertAlign w:val="superscript"/>
          <w:lang w:eastAsia="en-GB"/>
        </w:rPr>
        <w:t>3</w:t>
      </w:r>
      <w:r w:rsidRPr="00BC0911">
        <w:rPr>
          <w:b w:val="0"/>
          <w:bCs w:val="0"/>
          <w:color w:val="auto"/>
          <w:sz w:val="22"/>
          <w:lang w:eastAsia="en-GB"/>
        </w:rPr>
        <w:t xml:space="preserve"> of 0.1 M sodium hydroxide to make a 7 x 10</w:t>
      </w:r>
      <w:r w:rsidRPr="00BC0911">
        <w:rPr>
          <w:b w:val="0"/>
          <w:bCs w:val="0"/>
          <w:color w:val="auto"/>
          <w:sz w:val="22"/>
          <w:vertAlign w:val="superscript"/>
          <w:lang w:eastAsia="en-GB"/>
        </w:rPr>
        <w:t>–3</w:t>
      </w:r>
      <w:r w:rsidRPr="00BC0911">
        <w:rPr>
          <w:b w:val="0"/>
          <w:bCs w:val="0"/>
          <w:color w:val="auto"/>
          <w:sz w:val="22"/>
          <w:lang w:eastAsia="en-GB"/>
        </w:rPr>
        <w:t xml:space="preserve"> M alkaline luminol solution.</w:t>
      </w:r>
    </w:p>
    <w:p w14:paraId="534B7AAB" w14:textId="3E3D5E65" w:rsidR="00BC0911" w:rsidRPr="00BC0911" w:rsidRDefault="00BC0911" w:rsidP="00BC0911">
      <w:pPr>
        <w:pStyle w:val="RSCH2"/>
        <w:spacing w:before="0"/>
        <w:rPr>
          <w:b w:val="0"/>
          <w:bCs w:val="0"/>
          <w:color w:val="auto"/>
          <w:sz w:val="22"/>
          <w:lang w:eastAsia="en-GB"/>
        </w:rPr>
      </w:pPr>
      <w:r w:rsidRPr="00BC0911">
        <w:rPr>
          <w:b w:val="0"/>
          <w:bCs w:val="0"/>
          <w:color w:val="auto"/>
          <w:sz w:val="22"/>
          <w:lang w:eastAsia="en-GB"/>
        </w:rPr>
        <w:t>Before the demonstration, boil a kettle of water. Transfer solutions B, C and D into 100 cm</w:t>
      </w:r>
      <w:r w:rsidRPr="00BC0911">
        <w:rPr>
          <w:b w:val="0"/>
          <w:bCs w:val="0"/>
          <w:color w:val="auto"/>
          <w:sz w:val="22"/>
          <w:vertAlign w:val="superscript"/>
          <w:lang w:eastAsia="en-GB"/>
        </w:rPr>
        <w:t>3</w:t>
      </w:r>
      <w:r w:rsidRPr="00BC0911">
        <w:rPr>
          <w:b w:val="0"/>
          <w:bCs w:val="0"/>
          <w:color w:val="auto"/>
          <w:sz w:val="22"/>
          <w:lang w:eastAsia="en-GB"/>
        </w:rPr>
        <w:t xml:space="preserve"> beakers. Add hot water from the kettle to a larger beaker (I used a 2 L beaker). Place the beakers of B, C and D into the water bath to heat to 50-60°C, taking care not to float them.</w:t>
      </w:r>
    </w:p>
    <w:p w14:paraId="6BB2BCC8" w14:textId="77777777" w:rsidR="00BC0911" w:rsidRDefault="00BC0911" w:rsidP="00BC0911">
      <w:pPr>
        <w:pStyle w:val="RSCH2"/>
        <w:spacing w:before="0"/>
        <w:rPr>
          <w:b w:val="0"/>
          <w:bCs w:val="0"/>
          <w:color w:val="auto"/>
          <w:sz w:val="22"/>
          <w:lang w:eastAsia="en-GB"/>
        </w:rPr>
      </w:pPr>
      <w:r w:rsidRPr="00BC0911">
        <w:rPr>
          <w:b w:val="0"/>
          <w:bCs w:val="0"/>
          <w:color w:val="auto"/>
          <w:sz w:val="22"/>
          <w:lang w:eastAsia="en-GB"/>
        </w:rPr>
        <w:t>Place solution A into the demonstration flask with the stirrer bar. Darken the room.</w:t>
      </w:r>
    </w:p>
    <w:p w14:paraId="177A9F5D" w14:textId="535B2BF8" w:rsidR="00307510" w:rsidRDefault="00803338" w:rsidP="00BC0911">
      <w:pPr>
        <w:pStyle w:val="RSCH2"/>
        <w:rPr>
          <w:color w:val="8E1055"/>
          <w:lang w:eastAsia="en-GB"/>
        </w:rPr>
      </w:pPr>
      <w:r>
        <w:rPr>
          <w:noProof/>
          <w:color w:val="8E1055"/>
          <w:lang w:eastAsia="en-GB"/>
        </w:rPr>
        <mc:AlternateContent>
          <mc:Choice Requires="wps">
            <w:drawing>
              <wp:anchor distT="0" distB="0" distL="114300" distR="114300" simplePos="0" relativeHeight="251659264" behindDoc="0" locked="0" layoutInCell="1" allowOverlap="1" wp14:anchorId="6B41BB18" wp14:editId="6BE85875">
                <wp:simplePos x="0" y="0"/>
                <wp:positionH relativeFrom="column">
                  <wp:posOffset>-76200</wp:posOffset>
                </wp:positionH>
                <wp:positionV relativeFrom="paragraph">
                  <wp:posOffset>172085</wp:posOffset>
                </wp:positionV>
                <wp:extent cx="6210300" cy="281940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0300" cy="2819400"/>
                        </a:xfrm>
                        <a:prstGeom prst="rect">
                          <a:avLst/>
                        </a:prstGeom>
                        <a:noFill/>
                        <a:ln w="28575">
                          <a:solidFill>
                            <a:srgbClr val="8E10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0E441" id="Rectangle 3" o:spid="_x0000_s1026" alt="&quot;&quot;" style="position:absolute;margin-left:-6pt;margin-top:13.55pt;width:489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" filled="f" strokecolor="#8e1055" strokeweight="2.25pt"/>
            </w:pict>
          </mc:Fallback>
        </mc:AlternateContent>
      </w:r>
      <w:r w:rsidR="00307510">
        <w:rPr>
          <w:color w:val="8E1055"/>
          <w:lang w:eastAsia="en-GB"/>
        </w:rPr>
        <w:t xml:space="preserve">Safety </w:t>
      </w:r>
      <w:r w:rsidR="00414DC8">
        <w:rPr>
          <w:color w:val="8E1055"/>
          <w:lang w:eastAsia="en-GB"/>
        </w:rPr>
        <w:t xml:space="preserve">and disposal </w:t>
      </w:r>
      <w:r w:rsidR="00307510">
        <w:rPr>
          <w:color w:val="8E1055"/>
          <w:lang w:eastAsia="en-GB"/>
        </w:rPr>
        <w:t xml:space="preserve">notes </w:t>
      </w:r>
    </w:p>
    <w:p w14:paraId="14BC72DF" w14:textId="77777777" w:rsidR="00BC0911" w:rsidRDefault="00BC0911" w:rsidP="00803338">
      <w:pPr>
        <w:pStyle w:val="RSCBulletedlist"/>
        <w:numPr>
          <w:ilvl w:val="0"/>
          <w:numId w:val="24"/>
        </w:numPr>
        <w:rPr>
          <w:lang w:eastAsia="en-GB"/>
        </w:rPr>
      </w:pPr>
      <w:r w:rsidRPr="00BC0911">
        <w:rPr>
          <w:lang w:eastAsia="en-GB"/>
        </w:rPr>
        <w:t>Wear eye protection.</w:t>
      </w:r>
    </w:p>
    <w:p w14:paraId="55D58CF3" w14:textId="77777777" w:rsidR="00BC0911" w:rsidRDefault="00BC0911" w:rsidP="00803338">
      <w:pPr>
        <w:pStyle w:val="RSCBulletedlist"/>
        <w:numPr>
          <w:ilvl w:val="0"/>
          <w:numId w:val="24"/>
        </w:numPr>
        <w:rPr>
          <w:lang w:eastAsia="en-GB"/>
        </w:rPr>
      </w:pPr>
      <w:r w:rsidRPr="00BC0911">
        <w:rPr>
          <w:lang w:eastAsia="en-GB"/>
        </w:rPr>
        <w:t>Hydrogen peroxide can cause serious eye damage. CLEAPSS members should see RB045 (bit.ly/46MzwYE) before diluting 100 vol (30%) hydrogen peroxide.</w:t>
      </w:r>
    </w:p>
    <w:p w14:paraId="4D410EA1" w14:textId="09143FE4" w:rsidR="00BC0911" w:rsidRDefault="00BC0911" w:rsidP="00803338">
      <w:pPr>
        <w:pStyle w:val="RSCBulletedlist"/>
        <w:numPr>
          <w:ilvl w:val="0"/>
          <w:numId w:val="24"/>
        </w:numPr>
        <w:rPr>
          <w:lang w:eastAsia="en-GB"/>
        </w:rPr>
      </w:pPr>
      <w:r w:rsidRPr="00BC0911">
        <w:rPr>
          <w:lang w:eastAsia="en-GB"/>
        </w:rPr>
        <w:t xml:space="preserve">Copper (II) </w:t>
      </w:r>
      <w:proofErr w:type="spellStart"/>
      <w:r w:rsidRPr="00BC0911">
        <w:rPr>
          <w:lang w:eastAsia="en-GB"/>
        </w:rPr>
        <w:t>sulfate</w:t>
      </w:r>
      <w:proofErr w:type="spellEnd"/>
      <w:r w:rsidRPr="00BC0911">
        <w:rPr>
          <w:lang w:eastAsia="en-GB"/>
        </w:rPr>
        <w:t xml:space="preserve"> is harmful if swallowed and can cause serious eye damage. Avoid contact with skin.</w:t>
      </w:r>
    </w:p>
    <w:p w14:paraId="183BDF1A" w14:textId="0A346B89" w:rsidR="00BC0911" w:rsidRDefault="00BC0911" w:rsidP="00803338">
      <w:pPr>
        <w:pStyle w:val="RSCBulletedlist"/>
        <w:numPr>
          <w:ilvl w:val="0"/>
          <w:numId w:val="24"/>
        </w:numPr>
        <w:rPr>
          <w:lang w:eastAsia="en-GB"/>
        </w:rPr>
      </w:pPr>
      <w:r w:rsidRPr="00BC0911">
        <w:rPr>
          <w:lang w:eastAsia="en-GB"/>
        </w:rPr>
        <w:t>Avoid raising dust when measuring out powders.</w:t>
      </w:r>
    </w:p>
    <w:p w14:paraId="0346F495" w14:textId="0163C68B" w:rsidR="00BC0911" w:rsidRDefault="00BC0911" w:rsidP="00803338">
      <w:pPr>
        <w:pStyle w:val="RSCBulletedlist"/>
        <w:numPr>
          <w:ilvl w:val="0"/>
          <w:numId w:val="24"/>
        </w:numPr>
        <w:rPr>
          <w:lang w:eastAsia="en-GB"/>
        </w:rPr>
      </w:pPr>
      <w:r w:rsidRPr="00BC0911">
        <w:rPr>
          <w:lang w:eastAsia="en-GB"/>
        </w:rPr>
        <w:t>Potassium thiocyanate is harmful. Only heat the solution with a water bath and avoid boiling dry.</w:t>
      </w:r>
    </w:p>
    <w:p w14:paraId="29BE76A0" w14:textId="122E65A4" w:rsidR="00BC0911" w:rsidRDefault="00BC0911" w:rsidP="00803338">
      <w:pPr>
        <w:pStyle w:val="RSCBulletedlist"/>
        <w:numPr>
          <w:ilvl w:val="0"/>
          <w:numId w:val="24"/>
        </w:numPr>
        <w:rPr>
          <w:lang w:eastAsia="en-GB"/>
        </w:rPr>
      </w:pPr>
      <w:r w:rsidRPr="00BC0911">
        <w:rPr>
          <w:lang w:eastAsia="en-GB"/>
        </w:rPr>
        <w:t>Luminol is an irritant (affects the skin and eyes and possibly the respiratory tract).</w:t>
      </w:r>
    </w:p>
    <w:p w14:paraId="512C96A6" w14:textId="6DF23EBD" w:rsidR="00BC0911" w:rsidRDefault="00BC0911" w:rsidP="00803338">
      <w:pPr>
        <w:pStyle w:val="RSCBulletedlist"/>
        <w:numPr>
          <w:ilvl w:val="0"/>
          <w:numId w:val="24"/>
        </w:numPr>
        <w:rPr>
          <w:lang w:eastAsia="en-GB"/>
        </w:rPr>
      </w:pPr>
      <w:r w:rsidRPr="00BC0911">
        <w:rPr>
          <w:lang w:eastAsia="en-GB"/>
        </w:rPr>
        <w:t>Dilute all solutions with plenty of water and dispose in a foul-water drain.</w:t>
      </w:r>
    </w:p>
    <w:p w14:paraId="79B2D810" w14:textId="29E2738C" w:rsidR="00307510" w:rsidRDefault="00307510" w:rsidP="00104CB2">
      <w:pPr>
        <w:pStyle w:val="RSCH2"/>
        <w:rPr>
          <w:color w:val="8E1055"/>
          <w:lang w:eastAsia="en-GB"/>
        </w:rPr>
      </w:pPr>
      <w:r>
        <w:rPr>
          <w:color w:val="8E1055"/>
          <w:lang w:eastAsia="en-GB"/>
        </w:rPr>
        <w:t>In front of the class</w:t>
      </w:r>
    </w:p>
    <w:p w14:paraId="53B01B0A" w14:textId="1C0BE651" w:rsidR="00BC0911" w:rsidRPr="00BC0911" w:rsidRDefault="00BC0911" w:rsidP="00BC0911">
      <w:pPr>
        <w:pStyle w:val="RSCH2"/>
        <w:spacing w:before="0"/>
        <w:rPr>
          <w:b w:val="0"/>
          <w:bCs w:val="0"/>
          <w:color w:val="auto"/>
          <w:sz w:val="22"/>
          <w:lang w:eastAsia="en-GB"/>
        </w:rPr>
      </w:pPr>
      <w:r w:rsidRPr="00BC0911">
        <w:rPr>
          <w:b w:val="0"/>
          <w:bCs w:val="0"/>
          <w:color w:val="auto"/>
          <w:sz w:val="22"/>
          <w:lang w:eastAsia="en-GB"/>
        </w:rPr>
        <w:t>When solutions B–D are between 50–60°C, remove them and adjust the temperature of the water bath to 40–50°C. Ensure the water level is low enough not to float the demonstration flask.</w:t>
      </w:r>
    </w:p>
    <w:p w14:paraId="70FB81E4" w14:textId="0F8F72FE" w:rsidR="00BC0911" w:rsidRPr="00BC0911" w:rsidRDefault="00BC0911" w:rsidP="00BC0911">
      <w:pPr>
        <w:pStyle w:val="RSCH2"/>
        <w:spacing w:before="0"/>
        <w:rPr>
          <w:b w:val="0"/>
          <w:bCs w:val="0"/>
          <w:color w:val="auto"/>
          <w:sz w:val="22"/>
          <w:lang w:eastAsia="en-GB"/>
        </w:rPr>
      </w:pPr>
      <w:r w:rsidRPr="00BC0911">
        <w:rPr>
          <w:b w:val="0"/>
          <w:bCs w:val="0"/>
          <w:color w:val="auto"/>
          <w:sz w:val="22"/>
          <w:lang w:eastAsia="en-GB"/>
        </w:rPr>
        <w:t>Add solutions B and C to the demonstration flask, then place it into the water bath and stir. To initiate the reaction, add solution D.</w:t>
      </w:r>
    </w:p>
    <w:p w14:paraId="31F814B1" w14:textId="77777777" w:rsidR="00BC0911" w:rsidRDefault="00BC0911" w:rsidP="00BC0911">
      <w:pPr>
        <w:pStyle w:val="RSCH2"/>
        <w:spacing w:before="0"/>
        <w:rPr>
          <w:b w:val="0"/>
          <w:bCs w:val="0"/>
          <w:color w:val="auto"/>
          <w:sz w:val="22"/>
          <w:lang w:eastAsia="en-GB"/>
        </w:rPr>
      </w:pPr>
      <w:r w:rsidRPr="00BC0911">
        <w:rPr>
          <w:b w:val="0"/>
          <w:bCs w:val="0"/>
          <w:color w:val="auto"/>
          <w:sz w:val="22"/>
          <w:lang w:eastAsia="en-GB"/>
        </w:rPr>
        <w:t xml:space="preserve">There will be an initial flash of blue light, then a faint afterglow associated with a separate reaction of luminol with superoxide ions in solution. Flashes will repeat. At ~40°C, the reaction lasts 10–15 minutes with steadily increasing periods ranging from </w:t>
      </w:r>
      <w:proofErr w:type="spellStart"/>
      <w:r w:rsidRPr="00BC0911">
        <w:rPr>
          <w:b w:val="0"/>
          <w:bCs w:val="0"/>
          <w:color w:val="auto"/>
          <w:sz w:val="22"/>
          <w:lang w:eastAsia="en-GB"/>
        </w:rPr>
        <w:t>approx</w:t>
      </w:r>
      <w:proofErr w:type="spellEnd"/>
      <w:r w:rsidRPr="00BC0911">
        <w:rPr>
          <w:b w:val="0"/>
          <w:bCs w:val="0"/>
          <w:color w:val="auto"/>
          <w:sz w:val="22"/>
          <w:lang w:eastAsia="en-GB"/>
        </w:rPr>
        <w:t xml:space="preserve"> 30 seconds initially to 70 seconds after 12 minutes.</w:t>
      </w:r>
    </w:p>
    <w:p w14:paraId="2F2787C7" w14:textId="0D3B2B48" w:rsidR="00104CB2" w:rsidRDefault="00307510" w:rsidP="00BC0911">
      <w:pPr>
        <w:pStyle w:val="RSCH2"/>
        <w:rPr>
          <w:color w:val="8E1055"/>
          <w:lang w:eastAsia="en-GB"/>
        </w:rPr>
      </w:pPr>
      <w:r>
        <w:rPr>
          <w:color w:val="8E1055"/>
          <w:lang w:eastAsia="en-GB"/>
        </w:rPr>
        <w:t>Teaching goal</w:t>
      </w:r>
    </w:p>
    <w:p w14:paraId="6BD7405D" w14:textId="77777777" w:rsidR="00BC0911" w:rsidRPr="00BC0911" w:rsidRDefault="00BC0911" w:rsidP="00BC0911">
      <w:pPr>
        <w:pStyle w:val="RSCH4"/>
        <w:spacing w:before="0"/>
        <w:rPr>
          <w:i w:val="0"/>
          <w:iCs w:val="0"/>
          <w:color w:val="auto"/>
          <w:sz w:val="22"/>
          <w:szCs w:val="22"/>
          <w:lang w:eastAsia="en-GB"/>
        </w:rPr>
      </w:pPr>
      <w:r w:rsidRPr="00BC0911">
        <w:rPr>
          <w:i w:val="0"/>
          <w:iCs w:val="0"/>
          <w:color w:val="auto"/>
          <w:sz w:val="22"/>
          <w:szCs w:val="22"/>
          <w:lang w:eastAsia="en-GB"/>
        </w:rPr>
        <w:t xml:space="preserve">This reaction is a great discussion starter, where students will find the predictable intervals of light captivating, like a slow-motion firefly. All oscillating reactions rely on competing autocatalytic steps broadly fitting the </w:t>
      </w:r>
      <w:proofErr w:type="spellStart"/>
      <w:r w:rsidRPr="00BC0911">
        <w:rPr>
          <w:i w:val="0"/>
          <w:iCs w:val="0"/>
          <w:color w:val="auto"/>
          <w:sz w:val="22"/>
          <w:szCs w:val="22"/>
          <w:lang w:eastAsia="en-GB"/>
        </w:rPr>
        <w:t>Brusselator</w:t>
      </w:r>
      <w:proofErr w:type="spellEnd"/>
      <w:r w:rsidRPr="00BC0911">
        <w:rPr>
          <w:i w:val="0"/>
          <w:iCs w:val="0"/>
          <w:color w:val="auto"/>
          <w:sz w:val="22"/>
          <w:szCs w:val="22"/>
          <w:lang w:eastAsia="en-GB"/>
        </w:rPr>
        <w:t xml:space="preserve"> model (bit.ly/3usCu6O). This model comprises four reactions with two central competing reactions that share </w:t>
      </w:r>
      <w:r w:rsidRPr="00BC0911">
        <w:rPr>
          <w:i w:val="0"/>
          <w:iCs w:val="0"/>
          <w:color w:val="auto"/>
          <w:sz w:val="22"/>
          <w:szCs w:val="22"/>
          <w:lang w:eastAsia="en-GB"/>
        </w:rPr>
        <w:lastRenderedPageBreak/>
        <w:t>a reactant and give rise to the oscillations. The overall reaction continually switches between these two central competing reactions.</w:t>
      </w:r>
    </w:p>
    <w:p w14:paraId="48805CA0" w14:textId="2F1A25A0" w:rsidR="00BC0911" w:rsidRPr="00BC0911" w:rsidRDefault="00BC0911" w:rsidP="00BC0911">
      <w:pPr>
        <w:pStyle w:val="RSCH4"/>
        <w:spacing w:before="0"/>
        <w:rPr>
          <w:i w:val="0"/>
          <w:iCs w:val="0"/>
          <w:color w:val="auto"/>
          <w:sz w:val="22"/>
          <w:szCs w:val="22"/>
          <w:lang w:eastAsia="en-GB"/>
        </w:rPr>
      </w:pPr>
      <w:r w:rsidRPr="00BC0911">
        <w:rPr>
          <w:i w:val="0"/>
          <w:iCs w:val="0"/>
          <w:color w:val="auto"/>
          <w:sz w:val="22"/>
          <w:szCs w:val="22"/>
          <w:lang w:eastAsia="en-GB"/>
        </w:rPr>
        <w:t xml:space="preserve">Although a dark room is best, typically the audience will see the initial burst of light in a classroom setting. Thereafter the solution turns yellow, which fades moments before the next flash of light. The yellow is attributed to copper(I) complexes and suggests that the copper </w:t>
      </w:r>
      <w:proofErr w:type="spellStart"/>
      <w:r w:rsidRPr="00BC0911">
        <w:rPr>
          <w:i w:val="0"/>
          <w:iCs w:val="0"/>
          <w:color w:val="auto"/>
          <w:sz w:val="22"/>
          <w:szCs w:val="22"/>
          <w:lang w:eastAsia="en-GB"/>
        </w:rPr>
        <w:t>sulfate</w:t>
      </w:r>
      <w:proofErr w:type="spellEnd"/>
      <w:r w:rsidRPr="00BC0911">
        <w:rPr>
          <w:i w:val="0"/>
          <w:iCs w:val="0"/>
          <w:color w:val="auto"/>
          <w:sz w:val="22"/>
          <w:szCs w:val="22"/>
          <w:lang w:eastAsia="en-GB"/>
        </w:rPr>
        <w:t xml:space="preserve"> has catalysed the decomposition of hydrogen peroxide, but before the copper(I) can be re-oxidised by dissolved oxygen or hydrogen peroxide, it is trapped by strong complexation from thiocyanate ions in the mixture. </w:t>
      </w:r>
      <w:proofErr w:type="gramStart"/>
      <w:r w:rsidRPr="00BC0911">
        <w:rPr>
          <w:i w:val="0"/>
          <w:iCs w:val="0"/>
          <w:color w:val="auto"/>
          <w:sz w:val="22"/>
          <w:szCs w:val="22"/>
          <w:lang w:eastAsia="en-GB"/>
        </w:rPr>
        <w:t>Copper(</w:t>
      </w:r>
      <w:proofErr w:type="gramEnd"/>
      <w:r w:rsidRPr="00BC0911">
        <w:rPr>
          <w:i w:val="0"/>
          <w:iCs w:val="0"/>
          <w:color w:val="auto"/>
          <w:sz w:val="22"/>
          <w:szCs w:val="22"/>
          <w:lang w:eastAsia="en-GB"/>
        </w:rPr>
        <w:t>II) is needed to catalyse the separate luminol reaction (see Lighting up copper, rsc.li/47HEkiq) in its own oxidation by hydrogen peroxide, so as long as the yellow colour is visible, the blue glow will not be.</w:t>
      </w:r>
    </w:p>
    <w:p w14:paraId="42486789" w14:textId="383A4948" w:rsidR="00BC0911" w:rsidRPr="00BC0911" w:rsidRDefault="00BC0911" w:rsidP="00BC0911">
      <w:pPr>
        <w:pStyle w:val="RSCH4"/>
        <w:spacing w:before="0"/>
        <w:rPr>
          <w:i w:val="0"/>
          <w:iCs w:val="0"/>
          <w:color w:val="auto"/>
          <w:sz w:val="22"/>
          <w:szCs w:val="22"/>
          <w:lang w:eastAsia="en-GB"/>
        </w:rPr>
      </w:pPr>
      <w:r w:rsidRPr="00BC0911">
        <w:rPr>
          <w:i w:val="0"/>
          <w:iCs w:val="0"/>
          <w:color w:val="auto"/>
          <w:sz w:val="22"/>
          <w:szCs w:val="22"/>
          <w:lang w:eastAsia="en-GB"/>
        </w:rPr>
        <w:t xml:space="preserve">Meanwhile, hydrogen peroxide and thiocyanate ions undergo a series of reactions to generate OS(O)CN•, which re-oxidises the Cu(I)[SCN]n complexes briefly before the </w:t>
      </w:r>
      <w:proofErr w:type="gramStart"/>
      <w:r w:rsidRPr="00BC0911">
        <w:rPr>
          <w:i w:val="0"/>
          <w:iCs w:val="0"/>
          <w:color w:val="auto"/>
          <w:sz w:val="22"/>
          <w:szCs w:val="22"/>
          <w:lang w:eastAsia="en-GB"/>
        </w:rPr>
        <w:t>copper(</w:t>
      </w:r>
      <w:proofErr w:type="gramEnd"/>
      <w:r w:rsidRPr="00BC0911">
        <w:rPr>
          <w:i w:val="0"/>
          <w:iCs w:val="0"/>
          <w:color w:val="auto"/>
          <w:sz w:val="22"/>
          <w:szCs w:val="22"/>
          <w:lang w:eastAsia="en-GB"/>
        </w:rPr>
        <w:t>II) is reduced and trapped again.</w:t>
      </w:r>
    </w:p>
    <w:p w14:paraId="7F3EC2A4" w14:textId="7361EC39" w:rsidR="00D00AB5" w:rsidRPr="00BC0911" w:rsidRDefault="00BC0911" w:rsidP="00BC0911">
      <w:pPr>
        <w:pStyle w:val="RSCH4"/>
        <w:spacing w:before="0"/>
        <w:rPr>
          <w:i w:val="0"/>
          <w:iCs w:val="0"/>
          <w:color w:val="auto"/>
          <w:sz w:val="22"/>
          <w:szCs w:val="22"/>
          <w:lang w:eastAsia="en-GB"/>
        </w:rPr>
      </w:pPr>
      <w:r w:rsidRPr="00BC0911">
        <w:rPr>
          <w:i w:val="0"/>
          <w:iCs w:val="0"/>
          <w:color w:val="auto"/>
          <w:sz w:val="22"/>
          <w:szCs w:val="22"/>
          <w:lang w:eastAsia="en-GB"/>
        </w:rPr>
        <w:t xml:space="preserve">A range of products are produced including oxygen from the decomposition of the peroxide, </w:t>
      </w:r>
      <w:proofErr w:type="spellStart"/>
      <w:proofErr w:type="gramStart"/>
      <w:r w:rsidRPr="00BC0911">
        <w:rPr>
          <w:i w:val="0"/>
          <w:iCs w:val="0"/>
          <w:color w:val="auto"/>
          <w:sz w:val="22"/>
          <w:szCs w:val="22"/>
          <w:lang w:eastAsia="en-GB"/>
        </w:rPr>
        <w:t>sulfate</w:t>
      </w:r>
      <w:proofErr w:type="spellEnd"/>
      <w:r w:rsidRPr="00BC0911">
        <w:rPr>
          <w:i w:val="0"/>
          <w:iCs w:val="0"/>
          <w:color w:val="auto"/>
          <w:sz w:val="22"/>
          <w:szCs w:val="22"/>
          <w:lang w:eastAsia="en-GB"/>
        </w:rPr>
        <w:t>(</w:t>
      </w:r>
      <w:proofErr w:type="gramEnd"/>
      <w:r w:rsidRPr="00BC0911">
        <w:rPr>
          <w:i w:val="0"/>
          <w:iCs w:val="0"/>
          <w:color w:val="auto"/>
          <w:sz w:val="22"/>
          <w:szCs w:val="22"/>
          <w:lang w:eastAsia="en-GB"/>
        </w:rPr>
        <w:t>VI) ions, hydrogen carbonate ions and, crucially, ammonium ions. Therefore, potassium thiocyanate and sodium hydroxide should not be substituted for ammonium compounds that can inhibit the oscillator.</w:t>
      </w:r>
      <w:bookmarkEnd w:id="0"/>
    </w:p>
    <w:sectPr w:rsidR="00D00AB5" w:rsidRPr="00BC0911"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A2987EE"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E</w:t>
    </w:r>
    <w:r>
      <w:rPr>
        <w:rFonts w:ascii="Century Gothic" w:hAnsi="Century Gothic"/>
        <w:b/>
        <w:bCs/>
        <w:color w:val="991E66"/>
        <w:sz w:val="30"/>
        <w:szCs w:val="30"/>
      </w:rPr>
      <w:t>xhibition</w:t>
    </w:r>
    <w:r w:rsidR="00DF7826">
      <w:rPr>
        <w:rFonts w:ascii="Century Gothic" w:hAnsi="Century Gothic"/>
        <w:b/>
        <w:bCs/>
        <w:color w:val="991E66"/>
        <w:sz w:val="30"/>
        <w:szCs w:val="30"/>
      </w:rPr>
      <w:t xml:space="preserve"> Chemistry</w:t>
    </w:r>
    <w:r w:rsidR="00557BF2" w:rsidRPr="00DF7826">
      <w:rPr>
        <w:rFonts w:ascii="Century Gothic" w:hAnsi="Century Gothic"/>
        <w:b/>
        <w:bCs/>
        <w:color w:val="FF0000"/>
        <w:sz w:val="24"/>
        <w:szCs w:val="24"/>
      </w:rPr>
      <w:t xml:space="preserve"> </w:t>
    </w:r>
  </w:p>
  <w:p w14:paraId="014B122C" w14:textId="3272FF12"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682C7C" w:rsidRPr="008D4F6D">
        <w:rPr>
          <w:rStyle w:val="Hyperlink"/>
          <w:rFonts w:ascii="Century Gothic" w:hAnsi="Century Gothic"/>
          <w:b/>
          <w:bCs/>
          <w:sz w:val="18"/>
          <w:szCs w:val="18"/>
        </w:rPr>
        <w:t>https://rsc.li/3Nm4e3q</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3509E"/>
    <w:multiLevelType w:val="hybridMultilevel"/>
    <w:tmpl w:val="F9CA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0"/>
  </w:num>
  <w:num w:numId="2" w16cid:durableId="46608390">
    <w:abstractNumId w:val="11"/>
  </w:num>
  <w:num w:numId="3" w16cid:durableId="767046158">
    <w:abstractNumId w:val="6"/>
  </w:num>
  <w:num w:numId="4" w16cid:durableId="1754862014">
    <w:abstractNumId w:val="9"/>
  </w:num>
  <w:num w:numId="5" w16cid:durableId="522865220">
    <w:abstractNumId w:val="17"/>
  </w:num>
  <w:num w:numId="6" w16cid:durableId="1092093063">
    <w:abstractNumId w:val="19"/>
  </w:num>
  <w:num w:numId="7" w16cid:durableId="1042751722">
    <w:abstractNumId w:val="1"/>
  </w:num>
  <w:num w:numId="8" w16cid:durableId="339281078">
    <w:abstractNumId w:val="5"/>
  </w:num>
  <w:num w:numId="9" w16cid:durableId="166483661">
    <w:abstractNumId w:val="4"/>
  </w:num>
  <w:num w:numId="10" w16cid:durableId="739593575">
    <w:abstractNumId w:val="3"/>
  </w:num>
  <w:num w:numId="11" w16cid:durableId="1035690940">
    <w:abstractNumId w:val="12"/>
  </w:num>
  <w:num w:numId="12" w16cid:durableId="1470199975">
    <w:abstractNumId w:val="3"/>
    <w:lvlOverride w:ilvl="0">
      <w:startOverride w:val="1"/>
    </w:lvlOverride>
  </w:num>
  <w:num w:numId="13" w16cid:durableId="1479612613">
    <w:abstractNumId w:val="16"/>
  </w:num>
  <w:num w:numId="14" w16cid:durableId="1674912029">
    <w:abstractNumId w:val="14"/>
  </w:num>
  <w:num w:numId="15" w16cid:durableId="2099716115">
    <w:abstractNumId w:val="10"/>
  </w:num>
  <w:num w:numId="16" w16cid:durableId="649024404">
    <w:abstractNumId w:val="0"/>
  </w:num>
  <w:num w:numId="17" w16cid:durableId="1550605262">
    <w:abstractNumId w:val="7"/>
  </w:num>
  <w:num w:numId="18" w16cid:durableId="181480924">
    <w:abstractNumId w:val="8"/>
  </w:num>
  <w:num w:numId="19" w16cid:durableId="2003771580">
    <w:abstractNumId w:val="4"/>
    <w:lvlOverride w:ilvl="0">
      <w:startOverride w:val="1"/>
    </w:lvlOverride>
  </w:num>
  <w:num w:numId="20" w16cid:durableId="2139297354">
    <w:abstractNumId w:val="18"/>
  </w:num>
  <w:num w:numId="21" w16cid:durableId="1368411444">
    <w:abstractNumId w:val="1"/>
  </w:num>
  <w:num w:numId="22" w16cid:durableId="1597057039">
    <w:abstractNumId w:val="15"/>
  </w:num>
  <w:num w:numId="23" w16cid:durableId="1359821052">
    <w:abstractNumId w:val="13"/>
  </w:num>
  <w:num w:numId="24" w16cid:durableId="1433546299">
    <w:abstractNumId w:val="21"/>
  </w:num>
  <w:num w:numId="25" w16cid:durableId="127135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878DA"/>
    <w:rsid w:val="00087C7B"/>
    <w:rsid w:val="0009292F"/>
    <w:rsid w:val="000B0210"/>
    <w:rsid w:val="000B0FE6"/>
    <w:rsid w:val="000E6E48"/>
    <w:rsid w:val="00104CB2"/>
    <w:rsid w:val="00146FCD"/>
    <w:rsid w:val="00147637"/>
    <w:rsid w:val="00170732"/>
    <w:rsid w:val="00180C62"/>
    <w:rsid w:val="001A278F"/>
    <w:rsid w:val="001D1067"/>
    <w:rsid w:val="002304A7"/>
    <w:rsid w:val="00231C1C"/>
    <w:rsid w:val="002549BE"/>
    <w:rsid w:val="00255470"/>
    <w:rsid w:val="002A3C79"/>
    <w:rsid w:val="002B06C9"/>
    <w:rsid w:val="002C2223"/>
    <w:rsid w:val="002D34BA"/>
    <w:rsid w:val="002E47CA"/>
    <w:rsid w:val="002F2A90"/>
    <w:rsid w:val="002F35A3"/>
    <w:rsid w:val="003059AB"/>
    <w:rsid w:val="003066BC"/>
    <w:rsid w:val="00307510"/>
    <w:rsid w:val="0031746B"/>
    <w:rsid w:val="00362CD9"/>
    <w:rsid w:val="003716B9"/>
    <w:rsid w:val="00383A44"/>
    <w:rsid w:val="003B7300"/>
    <w:rsid w:val="003C643A"/>
    <w:rsid w:val="003D6657"/>
    <w:rsid w:val="00414DC8"/>
    <w:rsid w:val="00442B44"/>
    <w:rsid w:val="0044650F"/>
    <w:rsid w:val="00446F05"/>
    <w:rsid w:val="0046389A"/>
    <w:rsid w:val="00485CEA"/>
    <w:rsid w:val="004B6770"/>
    <w:rsid w:val="00512B6D"/>
    <w:rsid w:val="00516F80"/>
    <w:rsid w:val="0052289F"/>
    <w:rsid w:val="00557BF2"/>
    <w:rsid w:val="005A5001"/>
    <w:rsid w:val="005B4AFE"/>
    <w:rsid w:val="005F286E"/>
    <w:rsid w:val="00623DCE"/>
    <w:rsid w:val="006820BE"/>
    <w:rsid w:val="00682C7C"/>
    <w:rsid w:val="006D790E"/>
    <w:rsid w:val="006E13FB"/>
    <w:rsid w:val="006E263A"/>
    <w:rsid w:val="007042E5"/>
    <w:rsid w:val="00747E9A"/>
    <w:rsid w:val="00747FE6"/>
    <w:rsid w:val="0077600A"/>
    <w:rsid w:val="007A08F5"/>
    <w:rsid w:val="007B56F2"/>
    <w:rsid w:val="00803338"/>
    <w:rsid w:val="0081721A"/>
    <w:rsid w:val="00835B9C"/>
    <w:rsid w:val="00862463"/>
    <w:rsid w:val="0089187A"/>
    <w:rsid w:val="00893B8E"/>
    <w:rsid w:val="00893F3D"/>
    <w:rsid w:val="008A1B0B"/>
    <w:rsid w:val="008B34F9"/>
    <w:rsid w:val="008B54F1"/>
    <w:rsid w:val="008D7A53"/>
    <w:rsid w:val="00905E09"/>
    <w:rsid w:val="009272D0"/>
    <w:rsid w:val="00942047"/>
    <w:rsid w:val="00A13442"/>
    <w:rsid w:val="00A5348B"/>
    <w:rsid w:val="00A571EB"/>
    <w:rsid w:val="00A5740C"/>
    <w:rsid w:val="00A725C3"/>
    <w:rsid w:val="00AA2485"/>
    <w:rsid w:val="00B226A7"/>
    <w:rsid w:val="00B30A6E"/>
    <w:rsid w:val="00B67A03"/>
    <w:rsid w:val="00B71E66"/>
    <w:rsid w:val="00BA3729"/>
    <w:rsid w:val="00BC0911"/>
    <w:rsid w:val="00C1703F"/>
    <w:rsid w:val="00C43346"/>
    <w:rsid w:val="00CD3159"/>
    <w:rsid w:val="00CD3907"/>
    <w:rsid w:val="00CD5E3C"/>
    <w:rsid w:val="00CF6E3E"/>
    <w:rsid w:val="00D00AB5"/>
    <w:rsid w:val="00D16C6F"/>
    <w:rsid w:val="00D17CC0"/>
    <w:rsid w:val="00D45D99"/>
    <w:rsid w:val="00D60D30"/>
    <w:rsid w:val="00DC0D9C"/>
    <w:rsid w:val="00DD432E"/>
    <w:rsid w:val="00DF7826"/>
    <w:rsid w:val="00E151AA"/>
    <w:rsid w:val="00E95DE4"/>
    <w:rsid w:val="00EC7EFF"/>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styleId="ListParagraph">
    <w:name w:val="List Paragraph"/>
    <w:basedOn w:val="Normal"/>
    <w:uiPriority w:val="34"/>
    <w:qFormat/>
    <w:rsid w:val="00D16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032993387">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Nm4e3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Nm4e3q"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Luminol lighthouse technician notes v1</dc:title>
  <dc:subject/>
  <dc:creator>Royal Society Of Chemistry</dc:creator>
  <cp:keywords>transition metal chemistry, catalysis, oscillating reaction, copper, luminol, chemiluminscent reaction</cp:keywords>
  <dc:description>From Education in Chemistry's Exhibition Chemistry series, available at https://rsc.li/3Nm4e3q</dc:description>
  <cp:lastModifiedBy>Anastasia Marsh</cp:lastModifiedBy>
  <cp:revision>7</cp:revision>
  <dcterms:created xsi:type="dcterms:W3CDTF">2023-12-11T08:22:00Z</dcterms:created>
  <dcterms:modified xsi:type="dcterms:W3CDTF">2023-12-11T08:58:00Z</dcterms:modified>
  <cp:category/>
</cp:coreProperties>
</file>