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F786" w14:textId="1C3FBDAA" w:rsidR="00CB1B95" w:rsidRPr="007859BF" w:rsidRDefault="00363056" w:rsidP="00CB1B95">
      <w:pPr>
        <w:pStyle w:val="RSCH1"/>
      </w:pPr>
      <w:r>
        <w:t>Life</w:t>
      </w:r>
      <w:r w:rsidR="00CB07EA">
        <w:t xml:space="preserve"> </w:t>
      </w:r>
      <w:r w:rsidR="00713625">
        <w:t>cycle assessment</w:t>
      </w:r>
      <w:r>
        <w:t>: shopping bags</w:t>
      </w:r>
    </w:p>
    <w:p w14:paraId="4475D8C0" w14:textId="46B5678B" w:rsidR="00CB1B95" w:rsidRDefault="00CB1B95" w:rsidP="00CB1B95">
      <w:pPr>
        <w:pStyle w:val="RSCBasictext"/>
      </w:pPr>
      <w:r>
        <w:rPr>
          <w:lang w:eastAsia="en-GB"/>
        </w:rPr>
        <w:t xml:space="preserve">This resource accompanies the article </w:t>
      </w:r>
      <w:r w:rsidR="009F5DF3" w:rsidRPr="006774ED">
        <w:rPr>
          <w:lang w:eastAsia="en-GB"/>
        </w:rPr>
        <w:t>Life cycle assessment of takeaway containers</w:t>
      </w:r>
      <w:r>
        <w:rPr>
          <w:lang w:eastAsia="en-GB"/>
        </w:rPr>
        <w:t xml:space="preserve"> in </w:t>
      </w:r>
      <w:r w:rsidRPr="00FF382F">
        <w:rPr>
          <w:i/>
          <w:iCs/>
          <w:lang w:eastAsia="en-GB"/>
        </w:rPr>
        <w:t>Education in Chemistry</w:t>
      </w:r>
      <w:r>
        <w:rPr>
          <w:lang w:eastAsia="en-GB"/>
        </w:rPr>
        <w:t xml:space="preserve"> which can be </w:t>
      </w:r>
      <w:r w:rsidRPr="009F5DF3">
        <w:rPr>
          <w:lang w:eastAsia="en-GB"/>
        </w:rPr>
        <w:t xml:space="preserve">viewed at: </w:t>
      </w:r>
      <w:hyperlink r:id="rId11" w:history="1">
        <w:r w:rsidR="009F5DF3" w:rsidRPr="009F5DF3">
          <w:rPr>
            <w:rStyle w:val="Hyperlink"/>
          </w:rPr>
          <w:t>rsc.li/48PcLEY</w:t>
        </w:r>
      </w:hyperlink>
      <w:r w:rsidRPr="009F5DF3">
        <w:t>.</w:t>
      </w:r>
      <w:r w:rsidRPr="00647E89">
        <w:t xml:space="preserve"> The article</w:t>
      </w:r>
      <w:r w:rsidR="009F5DF3">
        <w:t xml:space="preserve"> looks at a study of the environmental impact of different type</w:t>
      </w:r>
      <w:r w:rsidR="005F07F9">
        <w:t>s</w:t>
      </w:r>
      <w:r w:rsidR="009F5DF3">
        <w:t xml:space="preserve"> of takeaway containers and provides another example to bring into your teaching.</w:t>
      </w:r>
    </w:p>
    <w:p w14:paraId="6A7B6075" w14:textId="77777777" w:rsidR="00CB1B95" w:rsidRDefault="00CB1B95" w:rsidP="00EC152D">
      <w:pPr>
        <w:pStyle w:val="RSCH2"/>
        <w:spacing w:before="360"/>
        <w:rPr>
          <w:lang w:eastAsia="en-GB"/>
        </w:rPr>
      </w:pPr>
      <w:r>
        <w:rPr>
          <w:lang w:eastAsia="en-GB"/>
        </w:rPr>
        <w:t>Learning objectives</w:t>
      </w:r>
    </w:p>
    <w:p w14:paraId="34F4A3D4" w14:textId="77777777" w:rsidR="002D49A1" w:rsidRDefault="002D49A1" w:rsidP="002D49A1">
      <w:pPr>
        <w:pStyle w:val="RSCLearningobjectives"/>
        <w:rPr>
          <w:lang w:eastAsia="en-US"/>
        </w:rPr>
      </w:pPr>
      <w:r>
        <w:t>Understand how the overall environmental impact of a product is assessed using a life cycle assessment.</w:t>
      </w:r>
    </w:p>
    <w:p w14:paraId="084EA578" w14:textId="0C768B32" w:rsidR="00EC152D" w:rsidRDefault="002D49A1" w:rsidP="00EC152D">
      <w:pPr>
        <w:pStyle w:val="RSCLearningobjectives"/>
      </w:pPr>
      <w:r>
        <w:t>Evaluate the use of three different types of shopping bag using a life cycle assessment of each</w:t>
      </w:r>
      <w:r w:rsidR="009B4270">
        <w:t xml:space="preserve"> one</w:t>
      </w:r>
      <w:r>
        <w:t>.</w:t>
      </w:r>
    </w:p>
    <w:p w14:paraId="0AB7B4FB" w14:textId="4245A464" w:rsidR="00EC152D" w:rsidRDefault="00EC152D" w:rsidP="00EC152D">
      <w:pPr>
        <w:pStyle w:val="RSCH2"/>
        <w:spacing w:before="360"/>
      </w:pPr>
      <w:r>
        <w:t xml:space="preserve">Introduction </w:t>
      </w:r>
    </w:p>
    <w:p w14:paraId="00AE5EFB" w14:textId="40F168CF" w:rsidR="00C962C5" w:rsidRPr="00784C66" w:rsidRDefault="00C962C5" w:rsidP="00EC152D">
      <w:pPr>
        <w:pStyle w:val="RSCBasictext"/>
      </w:pPr>
      <w:r w:rsidRPr="00784C66">
        <w:t xml:space="preserve">In 2008, </w:t>
      </w:r>
      <w:r w:rsidR="004808EB">
        <w:t>s</w:t>
      </w:r>
      <w:r w:rsidR="004808EB" w:rsidRPr="00784C66">
        <w:t>upermarkets in the UK</w:t>
      </w:r>
      <w:r w:rsidR="004808EB">
        <w:t xml:space="preserve"> gave away </w:t>
      </w:r>
      <w:r w:rsidRPr="00784C66">
        <w:t>approximately 10 billion lightweight single-use carrier bags. This equates to around 10 bags a week per household.</w:t>
      </w:r>
      <w:r>
        <w:t xml:space="preserve"> In 2011, the Environment Agency conducted a life</w:t>
      </w:r>
      <w:r w:rsidR="00271CBC">
        <w:t xml:space="preserve"> </w:t>
      </w:r>
      <w:r>
        <w:t xml:space="preserve">cycle assessment </w:t>
      </w:r>
      <w:r w:rsidR="00B84914">
        <w:t xml:space="preserve">(LCA) </w:t>
      </w:r>
      <w:r>
        <w:t xml:space="preserve">of carrier bags used in supermarkets in England. This provided the evidence for the </w:t>
      </w:r>
      <w:r w:rsidR="008B2659">
        <w:t>g</w:t>
      </w:r>
      <w:r>
        <w:t xml:space="preserve">overnment to </w:t>
      </w:r>
      <w:r w:rsidR="008E4396">
        <w:t>act</w:t>
      </w:r>
      <w:r>
        <w:t xml:space="preserve"> on single-use plastic waste.</w:t>
      </w:r>
    </w:p>
    <w:p w14:paraId="5DF733CC" w14:textId="0ED654A6" w:rsidR="005F07F9" w:rsidRDefault="005F07F9" w:rsidP="00EC152D">
      <w:pPr>
        <w:pStyle w:val="RSCH2"/>
        <w:spacing w:before="360"/>
        <w:rPr>
          <w:lang w:eastAsia="en-GB"/>
        </w:rPr>
      </w:pPr>
      <w:r>
        <w:rPr>
          <w:lang w:eastAsia="en-GB"/>
        </w:rPr>
        <w:t>Differentiation</w:t>
      </w:r>
    </w:p>
    <w:p w14:paraId="50AC0212" w14:textId="60248422" w:rsidR="00CB1B95" w:rsidRDefault="00713625" w:rsidP="00CB1B95">
      <w:pPr>
        <w:pStyle w:val="RSC2-columntabs"/>
        <w:rPr>
          <w:lang w:eastAsia="en-GB"/>
        </w:rPr>
      </w:pPr>
      <w:r>
        <w:rPr>
          <w:lang w:eastAsia="en-GB"/>
        </w:rPr>
        <w:t>There are two versions of the</w:t>
      </w:r>
      <w:r w:rsidR="0048778B">
        <w:rPr>
          <w:lang w:eastAsia="en-GB"/>
        </w:rPr>
        <w:t xml:space="preserve"> blank</w:t>
      </w:r>
      <w:r>
        <w:rPr>
          <w:lang w:eastAsia="en-GB"/>
        </w:rPr>
        <w:t xml:space="preserve"> </w:t>
      </w:r>
      <w:r w:rsidR="00215598">
        <w:rPr>
          <w:lang w:eastAsia="en-GB"/>
        </w:rPr>
        <w:t>LCA</w:t>
      </w:r>
      <w:r>
        <w:rPr>
          <w:lang w:eastAsia="en-GB"/>
        </w:rPr>
        <w:t xml:space="preserve"> table in the student </w:t>
      </w:r>
      <w:r w:rsidR="00C4437D">
        <w:rPr>
          <w:lang w:eastAsia="en-GB"/>
        </w:rPr>
        <w:t>sheet</w:t>
      </w:r>
      <w:r w:rsidR="00CB1B95">
        <w:rPr>
          <w:lang w:eastAsia="en-GB"/>
        </w:rPr>
        <w:t>.</w:t>
      </w:r>
      <w:r>
        <w:rPr>
          <w:lang w:eastAsia="en-GB"/>
        </w:rPr>
        <w:t xml:space="preserve"> One</w:t>
      </w:r>
      <w:r w:rsidR="004808EB">
        <w:rPr>
          <w:lang w:eastAsia="en-GB"/>
        </w:rPr>
        <w:t xml:space="preserve"> (marked with one star)</w:t>
      </w:r>
      <w:r>
        <w:rPr>
          <w:lang w:eastAsia="en-GB"/>
        </w:rPr>
        <w:t xml:space="preserve"> has a set of key questions to prompt learners to include information that will help them to draw valid comparisons.</w:t>
      </w:r>
    </w:p>
    <w:p w14:paraId="438ABC5B" w14:textId="57D2D726" w:rsidR="00BA78BC" w:rsidRDefault="00DB24F0" w:rsidP="00EC152D">
      <w:pPr>
        <w:pStyle w:val="RSC2-columntabs"/>
        <w:rPr>
          <w:b/>
          <w:bCs/>
          <w:color w:val="C8102E"/>
          <w:sz w:val="28"/>
          <w:lang w:eastAsia="en-GB"/>
        </w:rPr>
      </w:pPr>
      <w:r>
        <w:rPr>
          <w:lang w:eastAsia="en-GB"/>
        </w:rPr>
        <w:t xml:space="preserve">You can use the </w:t>
      </w:r>
      <w:r w:rsidR="001C66DF">
        <w:rPr>
          <w:lang w:eastAsia="en-GB"/>
        </w:rPr>
        <w:t>slides</w:t>
      </w:r>
      <w:r w:rsidR="00713625">
        <w:rPr>
          <w:lang w:eastAsia="en-GB"/>
        </w:rPr>
        <w:t xml:space="preserve"> to support learners to fill in the </w:t>
      </w:r>
      <w:r w:rsidR="00215598">
        <w:rPr>
          <w:lang w:eastAsia="en-GB"/>
        </w:rPr>
        <w:t>LCA</w:t>
      </w:r>
      <w:r>
        <w:rPr>
          <w:lang w:eastAsia="en-GB"/>
        </w:rPr>
        <w:t>.</w:t>
      </w:r>
      <w:r w:rsidR="002D49A1">
        <w:rPr>
          <w:lang w:eastAsia="en-GB"/>
        </w:rPr>
        <w:t xml:space="preserve"> </w:t>
      </w:r>
      <w:r>
        <w:rPr>
          <w:lang w:eastAsia="en-GB"/>
        </w:rPr>
        <w:t>T</w:t>
      </w:r>
      <w:r w:rsidR="002D49A1">
        <w:rPr>
          <w:lang w:eastAsia="en-GB"/>
        </w:rPr>
        <w:t>hey will also need to draw on their own subject knowledge</w:t>
      </w:r>
      <w:r w:rsidR="00713625">
        <w:rPr>
          <w:lang w:eastAsia="en-GB"/>
        </w:rPr>
        <w:t xml:space="preserve">. Alternatively, point learners to online </w:t>
      </w:r>
      <w:r w:rsidR="001C66DF">
        <w:rPr>
          <w:lang w:eastAsia="en-GB"/>
        </w:rPr>
        <w:t xml:space="preserve">resources </w:t>
      </w:r>
      <w:r w:rsidR="00713625">
        <w:rPr>
          <w:lang w:eastAsia="en-GB"/>
        </w:rPr>
        <w:t xml:space="preserve">that will help them fill in the </w:t>
      </w:r>
      <w:r w:rsidR="00215598">
        <w:rPr>
          <w:lang w:eastAsia="en-GB"/>
        </w:rPr>
        <w:t>table</w:t>
      </w:r>
      <w:r w:rsidR="00713625">
        <w:rPr>
          <w:lang w:eastAsia="en-GB"/>
        </w:rPr>
        <w:t xml:space="preserve"> independently. The Environment Agency Evidence report </w:t>
      </w:r>
      <w:r w:rsidR="00713625" w:rsidRPr="00363056">
        <w:rPr>
          <w:i/>
          <w:iCs/>
          <w:lang w:val="en-US" w:eastAsia="en-GB"/>
        </w:rPr>
        <w:t>Life cycle assessment of supermarket carrier bags: a review of the bags available in 2006</w:t>
      </w:r>
      <w:r w:rsidR="00713625" w:rsidRPr="00713625">
        <w:rPr>
          <w:lang w:val="en-US" w:eastAsia="en-GB"/>
        </w:rPr>
        <w:t xml:space="preserve"> </w:t>
      </w:r>
      <w:r w:rsidR="001176BE">
        <w:rPr>
          <w:lang w:val="en-US" w:eastAsia="en-GB"/>
        </w:rPr>
        <w:t>(</w:t>
      </w:r>
      <w:r w:rsidR="003B225C">
        <w:rPr>
          <w:lang w:val="en-US" w:eastAsia="en-GB"/>
        </w:rPr>
        <w:t xml:space="preserve">available at </w:t>
      </w:r>
      <w:hyperlink r:id="rId12" w:history="1">
        <w:r w:rsidR="001176BE" w:rsidRPr="00F94B3C">
          <w:rPr>
            <w:rStyle w:val="Hyperlink"/>
            <w:lang w:val="en-US" w:eastAsia="en-GB"/>
          </w:rPr>
          <w:t>bit.ly/3HwGSF5</w:t>
        </w:r>
      </w:hyperlink>
      <w:r w:rsidR="001176BE">
        <w:rPr>
          <w:lang w:val="en-US" w:eastAsia="en-GB"/>
        </w:rPr>
        <w:t xml:space="preserve">) </w:t>
      </w:r>
      <w:r w:rsidR="00713625" w:rsidRPr="00713625">
        <w:rPr>
          <w:lang w:val="en-US" w:eastAsia="en-GB"/>
        </w:rPr>
        <w:t>is a good place to start</w:t>
      </w:r>
      <w:r w:rsidR="005E5122">
        <w:rPr>
          <w:lang w:eastAsia="en-GB"/>
        </w:rPr>
        <w:t>.</w:t>
      </w:r>
      <w:r w:rsidR="00713625">
        <w:rPr>
          <w:lang w:eastAsia="en-GB"/>
        </w:rPr>
        <w:t xml:space="preserve"> </w:t>
      </w:r>
    </w:p>
    <w:p w14:paraId="6967D5CE" w14:textId="4EF26147" w:rsidR="00CB1B95" w:rsidRDefault="00CB1B95" w:rsidP="00EC152D">
      <w:pPr>
        <w:pStyle w:val="RSCH2"/>
        <w:spacing w:before="360"/>
        <w:rPr>
          <w:lang w:eastAsia="en-GB"/>
        </w:rPr>
      </w:pPr>
      <w:r>
        <w:rPr>
          <w:lang w:eastAsia="en-GB"/>
        </w:rPr>
        <w:t>Answers</w:t>
      </w:r>
    </w:p>
    <w:p w14:paraId="2ADBB5CA" w14:textId="69CEEDE8" w:rsidR="00713625" w:rsidRPr="00EC152D" w:rsidRDefault="002D49A1" w:rsidP="00EC152D">
      <w:pPr>
        <w:pStyle w:val="RSCnumberedlist"/>
      </w:pPr>
      <w:r w:rsidRPr="00EC152D">
        <w:t>An</w:t>
      </w:r>
      <w:r w:rsidR="0079213E" w:rsidRPr="00EC152D">
        <w:t xml:space="preserve"> example of a completed </w:t>
      </w:r>
      <w:r w:rsidR="00B84914" w:rsidRPr="00EC152D">
        <w:t>table</w:t>
      </w:r>
      <w:r w:rsidR="0079213E" w:rsidRPr="00EC152D">
        <w:t xml:space="preserve"> </w:t>
      </w:r>
      <w:r w:rsidR="00B84914" w:rsidRPr="00EC152D">
        <w:t xml:space="preserve">from the student sheet </w:t>
      </w:r>
      <w:r w:rsidRPr="00EC152D">
        <w:t>follows</w:t>
      </w:r>
      <w:r w:rsidR="002662C5" w:rsidRPr="00EC152D">
        <w:t>.</w:t>
      </w:r>
    </w:p>
    <w:tbl>
      <w:tblPr>
        <w:tblStyle w:val="TableGrid"/>
        <w:tblW w:w="14454" w:type="dxa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3307"/>
        <w:gridCol w:w="3308"/>
        <w:gridCol w:w="3308"/>
      </w:tblGrid>
      <w:tr w:rsidR="00713625" w:rsidRPr="00E73726" w14:paraId="2CFAA120" w14:textId="77777777" w:rsidTr="00EB0443">
        <w:trPr>
          <w:trHeight w:val="482"/>
          <w:jc w:val="center"/>
        </w:trPr>
        <w:tc>
          <w:tcPr>
            <w:tcW w:w="1555" w:type="dxa"/>
            <w:shd w:val="clear" w:color="auto" w:fill="F6E0C0"/>
            <w:vAlign w:val="center"/>
          </w:tcPr>
          <w:p w14:paraId="2B17DD1C" w14:textId="62303940" w:rsidR="00713625" w:rsidRPr="0079213E" w:rsidRDefault="00713625" w:rsidP="005959F1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006F62"/>
                <w:sz w:val="16"/>
                <w:szCs w:val="16"/>
              </w:rPr>
            </w:pPr>
            <w:r>
              <w:rPr>
                <w:lang w:eastAsia="en-GB"/>
              </w:rPr>
              <w:lastRenderedPageBreak/>
              <w:br w:type="page"/>
            </w:r>
            <w:r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Stage of life cycle</w:t>
            </w:r>
          </w:p>
        </w:tc>
        <w:tc>
          <w:tcPr>
            <w:tcW w:w="2976" w:type="dxa"/>
            <w:shd w:val="clear" w:color="auto" w:fill="F6E0C0"/>
            <w:vAlign w:val="center"/>
          </w:tcPr>
          <w:p w14:paraId="4D8A4427" w14:textId="77777777" w:rsidR="00713625" w:rsidRPr="0079213E" w:rsidRDefault="00713625" w:rsidP="005959F1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006F62"/>
                <w:sz w:val="16"/>
                <w:szCs w:val="16"/>
              </w:rPr>
            </w:pPr>
            <w:r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Key questions</w:t>
            </w:r>
          </w:p>
        </w:tc>
        <w:tc>
          <w:tcPr>
            <w:tcW w:w="3307" w:type="dxa"/>
            <w:shd w:val="clear" w:color="auto" w:fill="F6E0C0"/>
            <w:vAlign w:val="center"/>
          </w:tcPr>
          <w:p w14:paraId="4C6562DC" w14:textId="1D032E44" w:rsidR="00713625" w:rsidRPr="0079213E" w:rsidRDefault="00713625" w:rsidP="005959F1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006F62"/>
                <w:sz w:val="16"/>
                <w:szCs w:val="16"/>
              </w:rPr>
            </w:pPr>
            <w:r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Single</w:t>
            </w:r>
            <w:r w:rsidR="007F7BB7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-</w:t>
            </w:r>
            <w:r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use plastic bag</w:t>
            </w:r>
          </w:p>
        </w:tc>
        <w:tc>
          <w:tcPr>
            <w:tcW w:w="3308" w:type="dxa"/>
            <w:shd w:val="clear" w:color="auto" w:fill="F6E0C0"/>
            <w:vAlign w:val="center"/>
          </w:tcPr>
          <w:p w14:paraId="688E71D4" w14:textId="5903F1C4" w:rsidR="00713625" w:rsidRPr="0079213E" w:rsidRDefault="00713625" w:rsidP="005959F1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</w:pPr>
            <w:r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 xml:space="preserve">Reusable plastic bag </w:t>
            </w:r>
          </w:p>
        </w:tc>
        <w:tc>
          <w:tcPr>
            <w:tcW w:w="3308" w:type="dxa"/>
            <w:shd w:val="clear" w:color="auto" w:fill="F6E0C0"/>
            <w:vAlign w:val="center"/>
          </w:tcPr>
          <w:p w14:paraId="3BB1BF09" w14:textId="0513702F" w:rsidR="00713625" w:rsidRPr="0079213E" w:rsidRDefault="00713625" w:rsidP="005959F1">
            <w:pPr>
              <w:spacing w:before="60" w:after="60" w:line="259" w:lineRule="auto"/>
              <w:ind w:left="22" w:right="34" w:hanging="11"/>
              <w:jc w:val="center"/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</w:pPr>
            <w:r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Cotton bag</w:t>
            </w:r>
          </w:p>
        </w:tc>
      </w:tr>
      <w:tr w:rsidR="00713625" w:rsidRPr="00985C41" w14:paraId="23B8C7C3" w14:textId="77777777" w:rsidTr="00EB0443">
        <w:trPr>
          <w:trHeight w:val="742"/>
          <w:jc w:val="center"/>
        </w:trPr>
        <w:tc>
          <w:tcPr>
            <w:tcW w:w="1555" w:type="dxa"/>
            <w:vMerge w:val="restart"/>
            <w:vAlign w:val="center"/>
          </w:tcPr>
          <w:p w14:paraId="26040ED6" w14:textId="77777777" w:rsidR="00713625" w:rsidRPr="0079213E" w:rsidRDefault="00713625" w:rsidP="005959F1">
            <w:pPr>
              <w:spacing w:line="259" w:lineRule="auto"/>
              <w:ind w:left="22" w:right="34" w:firstLine="0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Raw materials</w:t>
            </w:r>
          </w:p>
        </w:tc>
        <w:tc>
          <w:tcPr>
            <w:tcW w:w="2976" w:type="dxa"/>
            <w:vAlign w:val="center"/>
          </w:tcPr>
          <w:p w14:paraId="04B9E2CA" w14:textId="3494B0D5" w:rsidR="00713625" w:rsidRPr="0079213E" w:rsidRDefault="00713625" w:rsidP="005959F1">
            <w:pPr>
              <w:tabs>
                <w:tab w:val="left" w:pos="1593"/>
              </w:tabs>
              <w:spacing w:line="259" w:lineRule="auto"/>
              <w:ind w:left="22" w:right="33" w:firstLine="0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79213E">
              <w:rPr>
                <w:rFonts w:ascii="Century Gothic" w:hAnsi="Century Gothic"/>
                <w:sz w:val="16"/>
                <w:szCs w:val="16"/>
              </w:rPr>
              <w:t>What is the bag made from? What is the source of the raw material?</w:t>
            </w:r>
            <w:r w:rsidR="00EB0443">
              <w:rPr>
                <w:rFonts w:ascii="Century Gothic" w:hAnsi="Century Gothic"/>
                <w:sz w:val="16"/>
                <w:szCs w:val="16"/>
              </w:rPr>
              <w:t xml:space="preserve"> How much is needed to make one bag?</w:t>
            </w:r>
          </w:p>
        </w:tc>
        <w:tc>
          <w:tcPr>
            <w:tcW w:w="3307" w:type="dxa"/>
            <w:vAlign w:val="center"/>
          </w:tcPr>
          <w:p w14:paraId="116EFF9D" w14:textId="77777777" w:rsidR="00EB0443" w:rsidRDefault="00441C31" w:rsidP="00EB0443">
            <w:pPr>
              <w:tabs>
                <w:tab w:val="left" w:pos="6128"/>
              </w:tabs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Poly(ethene)</w:t>
            </w:r>
            <w:r w:rsidR="00947222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,</w:t>
            </w:r>
            <w:r w:rsidRPr="00B74705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an addition polymer made from ethene. </w:t>
            </w:r>
          </w:p>
          <w:p w14:paraId="3D656435" w14:textId="77777777" w:rsidR="00EB0443" w:rsidRDefault="00441C31" w:rsidP="00EB0443">
            <w:pPr>
              <w:tabs>
                <w:tab w:val="left" w:pos="6128"/>
              </w:tabs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This is sourced from</w:t>
            </w:r>
            <w:r w:rsidR="002D49A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c</w:t>
            </w:r>
            <w:r w:rsidRPr="00B74705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rude oil.</w:t>
            </w:r>
            <w:r w:rsidR="00EB0443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 </w:t>
            </w:r>
          </w:p>
          <w:p w14:paraId="6A3E17F4" w14:textId="6A50EB72" w:rsidR="00713625" w:rsidRPr="00B74705" w:rsidRDefault="00EB0443" w:rsidP="00EB0443">
            <w:pPr>
              <w:tabs>
                <w:tab w:val="left" w:pos="6128"/>
              </w:tabs>
              <w:spacing w:after="0" w:line="240" w:lineRule="auto"/>
              <w:ind w:left="0" w:firstLine="0"/>
              <w:jc w:val="left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8.12 g.</w:t>
            </w:r>
          </w:p>
        </w:tc>
        <w:tc>
          <w:tcPr>
            <w:tcW w:w="3308" w:type="dxa"/>
            <w:vAlign w:val="center"/>
          </w:tcPr>
          <w:p w14:paraId="45C79803" w14:textId="77777777" w:rsidR="00841987" w:rsidRDefault="00441C31" w:rsidP="00841987">
            <w:pPr>
              <w:tabs>
                <w:tab w:val="left" w:pos="6128"/>
              </w:tabs>
              <w:spacing w:after="0" w:line="240" w:lineRule="auto"/>
              <w:ind w:left="11" w:hanging="11"/>
              <w:jc w:val="left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Poly(ethene) an addition polymer made from ethene.</w:t>
            </w:r>
            <w:r w:rsidRPr="00B74705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  <w:t xml:space="preserve">This is sourced from </w:t>
            </w:r>
            <w:r w:rsidR="002D49A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</w:t>
            </w:r>
            <w:r w:rsidRPr="00B74705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rude oil.</w:t>
            </w:r>
            <w:r w:rsidR="00EB0443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6B29CACC" w14:textId="73EC2801" w:rsidR="00713625" w:rsidRPr="00B74705" w:rsidRDefault="00EB0443" w:rsidP="00841987">
            <w:pPr>
              <w:tabs>
                <w:tab w:val="left" w:pos="6128"/>
              </w:tabs>
              <w:spacing w:after="0" w:line="240" w:lineRule="auto"/>
              <w:ind w:left="11" w:hanging="11"/>
              <w:jc w:val="left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34.94 g</w:t>
            </w:r>
          </w:p>
        </w:tc>
        <w:tc>
          <w:tcPr>
            <w:tcW w:w="3308" w:type="dxa"/>
            <w:vAlign w:val="center"/>
          </w:tcPr>
          <w:p w14:paraId="7CC941B1" w14:textId="77777777" w:rsidR="00841987" w:rsidRDefault="00441C31" w:rsidP="0079213E">
            <w:pPr>
              <w:tabs>
                <w:tab w:val="left" w:pos="6128"/>
              </w:tabs>
              <w:spacing w:line="259" w:lineRule="auto"/>
              <w:ind w:left="0" w:right="-1" w:hanging="1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Cotton from the cotton plant.</w:t>
            </w:r>
            <w:r w:rsidR="00EB044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3D55E82C" w14:textId="217ABD9F" w:rsidR="00713625" w:rsidRPr="00B74705" w:rsidRDefault="00EB0443" w:rsidP="0079213E">
            <w:pPr>
              <w:tabs>
                <w:tab w:val="left" w:pos="6128"/>
              </w:tabs>
              <w:spacing w:line="259" w:lineRule="auto"/>
              <w:ind w:left="0" w:right="-1" w:hanging="1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183.11g</w:t>
            </w:r>
          </w:p>
        </w:tc>
      </w:tr>
      <w:tr w:rsidR="00713625" w:rsidRPr="00985C41" w14:paraId="19FC3704" w14:textId="77777777" w:rsidTr="00EB0443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14:paraId="02D44D46" w14:textId="77777777" w:rsidR="00713625" w:rsidRPr="0079213E" w:rsidRDefault="00713625" w:rsidP="005959F1">
            <w:pPr>
              <w:spacing w:before="60" w:after="60" w:line="259" w:lineRule="auto"/>
              <w:ind w:left="22" w:right="34" w:firstLine="0"/>
              <w:jc w:val="left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25A52A35" w14:textId="536AFD2B" w:rsidR="00713625" w:rsidRPr="0079213E" w:rsidRDefault="007867F9" w:rsidP="005959F1">
            <w:pPr>
              <w:spacing w:before="60" w:after="60" w:line="259" w:lineRule="auto"/>
              <w:ind w:left="22" w:right="33" w:firstLine="0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What</w:t>
            </w:r>
            <w:r w:rsidR="00713625"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pollution and energy use </w:t>
            </w:r>
            <w:r w:rsidR="009472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are</w:t>
            </w:r>
            <w:r w:rsidR="00713625"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="008B265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linked</w:t>
            </w:r>
            <w:r w:rsidR="008B2659"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="00713625"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with the raw materials?</w:t>
            </w:r>
          </w:p>
        </w:tc>
        <w:tc>
          <w:tcPr>
            <w:tcW w:w="3307" w:type="dxa"/>
            <w:vAlign w:val="center"/>
          </w:tcPr>
          <w:p w14:paraId="4C50FA70" w14:textId="53559093" w:rsidR="00713625" w:rsidRPr="00B74705" w:rsidRDefault="00441C31" w:rsidP="0079213E">
            <w:pPr>
              <w:spacing w:before="60" w:after="60" w:line="259" w:lineRule="auto"/>
              <w:ind w:left="22" w:right="-1" w:firstLine="0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Oil extraction, fractional distillation and polymerisation all require a lot of energy and result in pollution.</w:t>
            </w:r>
          </w:p>
        </w:tc>
        <w:tc>
          <w:tcPr>
            <w:tcW w:w="3308" w:type="dxa"/>
            <w:vAlign w:val="center"/>
          </w:tcPr>
          <w:p w14:paraId="59A47A98" w14:textId="13CA52A7" w:rsidR="00713625" w:rsidRPr="00B74705" w:rsidRDefault="00441C31" w:rsidP="0079213E">
            <w:pPr>
              <w:spacing w:before="60" w:after="60" w:line="259" w:lineRule="auto"/>
              <w:ind w:left="22" w:right="-1" w:hanging="11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Oil extraction, fractional distillation and polymerisation all require a lot of energy and result in pollution.</w:t>
            </w:r>
          </w:p>
        </w:tc>
        <w:tc>
          <w:tcPr>
            <w:tcW w:w="3308" w:type="dxa"/>
            <w:vAlign w:val="center"/>
          </w:tcPr>
          <w:p w14:paraId="1600063E" w14:textId="754DE746" w:rsidR="00713625" w:rsidRPr="00B74705" w:rsidRDefault="00441C31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Soil cultivation, fertilisation,</w:t>
            </w:r>
            <w:r w:rsidR="003E606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application of pesticides, irrigation, harvesting and ginning</w:t>
            </w:r>
            <w:r w:rsidR="00EB044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- using </w:t>
            </w:r>
            <w:r w:rsidR="00CE167E">
              <w:rPr>
                <w:rFonts w:ascii="Century Gothic" w:hAnsi="Century Gothic"/>
                <w:b/>
                <w:bCs/>
                <w:sz w:val="16"/>
                <w:szCs w:val="16"/>
              </w:rPr>
              <w:t>energy and causing pollution.</w:t>
            </w:r>
          </w:p>
        </w:tc>
      </w:tr>
      <w:tr w:rsidR="00713625" w:rsidRPr="00985C41" w14:paraId="221DC1F5" w14:textId="77777777" w:rsidTr="00EB0443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14:paraId="7BD75AA8" w14:textId="77777777" w:rsidR="00713625" w:rsidRPr="0079213E" w:rsidRDefault="00713625" w:rsidP="005959F1">
            <w:pPr>
              <w:spacing w:before="60" w:after="60" w:line="259" w:lineRule="auto"/>
              <w:ind w:left="22" w:right="34"/>
              <w:jc w:val="left"/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0FBDE6CE" w14:textId="0F461745" w:rsidR="00713625" w:rsidRPr="0079213E" w:rsidRDefault="00713625" w:rsidP="005959F1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C8102E"/>
                <w:sz w:val="16"/>
                <w:szCs w:val="16"/>
              </w:rPr>
            </w:pP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Are the raw materials </w:t>
            </w:r>
            <w:r w:rsidR="00EC152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renewable</w:t>
            </w: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3307" w:type="dxa"/>
            <w:vAlign w:val="center"/>
          </w:tcPr>
          <w:p w14:paraId="034C2569" w14:textId="0539121E" w:rsidR="00713625" w:rsidRPr="00B74705" w:rsidRDefault="00441C31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No, </w:t>
            </w:r>
            <w:r w:rsidR="005A502C"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rude oil is a finite resource.</w:t>
            </w:r>
          </w:p>
        </w:tc>
        <w:tc>
          <w:tcPr>
            <w:tcW w:w="3308" w:type="dxa"/>
            <w:vAlign w:val="center"/>
          </w:tcPr>
          <w:p w14:paraId="1B43E5F1" w14:textId="7978B301" w:rsidR="00713625" w:rsidRPr="00B74705" w:rsidRDefault="00441C31" w:rsidP="0079213E">
            <w:pPr>
              <w:spacing w:before="60" w:after="60" w:line="259" w:lineRule="auto"/>
              <w:ind w:left="22" w:right="-1" w:hanging="11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No, </w:t>
            </w:r>
            <w:r w:rsidR="005A502C"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rude oil is a finite resource.</w:t>
            </w:r>
          </w:p>
        </w:tc>
        <w:tc>
          <w:tcPr>
            <w:tcW w:w="3308" w:type="dxa"/>
            <w:vAlign w:val="center"/>
          </w:tcPr>
          <w:p w14:paraId="16D91C42" w14:textId="043F1BC1" w:rsidR="00713625" w:rsidRPr="00B74705" w:rsidRDefault="00441C31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Cotton is a plant and is therefore </w:t>
            </w:r>
            <w:proofErr w:type="gramStart"/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renewable</w:t>
            </w:r>
            <w:proofErr w:type="gramEnd"/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but the process of growing cotton has a high environmental impact.</w:t>
            </w:r>
          </w:p>
        </w:tc>
      </w:tr>
      <w:tr w:rsidR="00713625" w:rsidRPr="00985C41" w14:paraId="0D2E5BA3" w14:textId="77777777" w:rsidTr="00EB0443">
        <w:trPr>
          <w:trHeight w:val="482"/>
          <w:jc w:val="center"/>
        </w:trPr>
        <w:tc>
          <w:tcPr>
            <w:tcW w:w="1555" w:type="dxa"/>
            <w:vMerge w:val="restart"/>
            <w:vAlign w:val="center"/>
          </w:tcPr>
          <w:p w14:paraId="6AA68D66" w14:textId="4A7F3F8D" w:rsidR="00713625" w:rsidRPr="0079213E" w:rsidRDefault="00713625" w:rsidP="00EC152D">
            <w:pPr>
              <w:spacing w:before="60" w:after="60" w:line="259" w:lineRule="auto"/>
              <w:ind w:left="22" w:right="34" w:firstLine="0"/>
              <w:jc w:val="left"/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</w:pPr>
            <w:r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Manufacturing</w:t>
            </w:r>
            <w:r w:rsidR="009818B6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 xml:space="preserve"> </w:t>
            </w:r>
            <w:r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and processing</w:t>
            </w:r>
          </w:p>
        </w:tc>
        <w:tc>
          <w:tcPr>
            <w:tcW w:w="2976" w:type="dxa"/>
            <w:vAlign w:val="center"/>
          </w:tcPr>
          <w:p w14:paraId="128B6124" w14:textId="77777777" w:rsidR="00713625" w:rsidRPr="0079213E" w:rsidRDefault="00713625" w:rsidP="005959F1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What is the process of turning the raw material into a bag?</w:t>
            </w:r>
          </w:p>
        </w:tc>
        <w:tc>
          <w:tcPr>
            <w:tcW w:w="3307" w:type="dxa"/>
            <w:vAlign w:val="center"/>
          </w:tcPr>
          <w:p w14:paraId="081A68D0" w14:textId="170216DA" w:rsidR="00713625" w:rsidRPr="00B74705" w:rsidRDefault="00441C31" w:rsidP="0048778B">
            <w:pPr>
              <w:spacing w:before="60" w:after="60" w:line="259" w:lineRule="auto"/>
              <w:ind w:left="0" w:right="-1" w:firstLine="0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Plastic melt is blown and sealed to form a bag.</w:t>
            </w:r>
          </w:p>
        </w:tc>
        <w:tc>
          <w:tcPr>
            <w:tcW w:w="3308" w:type="dxa"/>
            <w:vAlign w:val="center"/>
          </w:tcPr>
          <w:p w14:paraId="7833B905" w14:textId="31A104B5" w:rsidR="00713625" w:rsidRPr="00B74705" w:rsidRDefault="00441C31" w:rsidP="0079213E">
            <w:pPr>
              <w:spacing w:before="60" w:after="60" w:line="259" w:lineRule="auto"/>
              <w:ind w:left="22" w:right="-1" w:hanging="11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Plastic melt is blown and sealed to form a bag.</w:t>
            </w:r>
          </w:p>
        </w:tc>
        <w:tc>
          <w:tcPr>
            <w:tcW w:w="3308" w:type="dxa"/>
            <w:vAlign w:val="center"/>
          </w:tcPr>
          <w:p w14:paraId="734DDD43" w14:textId="2C80F2C8" w:rsidR="00713625" w:rsidRPr="00B74705" w:rsidRDefault="00441C31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Yarn production, textile refinement and weaving.</w:t>
            </w:r>
          </w:p>
        </w:tc>
      </w:tr>
      <w:tr w:rsidR="00713625" w:rsidRPr="00985C41" w14:paraId="67E1BE2B" w14:textId="77777777" w:rsidTr="00EB0443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14:paraId="467E3F47" w14:textId="77777777" w:rsidR="00713625" w:rsidRPr="0079213E" w:rsidRDefault="00713625" w:rsidP="005959F1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744E5012" w14:textId="702F1356" w:rsidR="00713625" w:rsidRPr="0079213E" w:rsidRDefault="00713625" w:rsidP="005959F1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How much pollution and energy use </w:t>
            </w:r>
            <w:r w:rsidR="001A27C5"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are</w:t>
            </w: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="00EC152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linked</w:t>
            </w: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with the </w:t>
            </w:r>
            <w:r w:rsidR="003E606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bag’s </w:t>
            </w: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manufacture and processing?</w:t>
            </w:r>
          </w:p>
        </w:tc>
        <w:tc>
          <w:tcPr>
            <w:tcW w:w="3307" w:type="dxa"/>
            <w:vAlign w:val="center"/>
          </w:tcPr>
          <w:p w14:paraId="05A62F56" w14:textId="6BF19FFD" w:rsidR="003D771B" w:rsidRDefault="00441C31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0.758 kWh</w:t>
            </w:r>
            <w:r w:rsidR="00A83EF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kg</w:t>
            </w:r>
            <w:r w:rsidR="00A83EF0">
              <w:rPr>
                <w:rFonts w:ascii="Century Gothic" w:hAnsi="Century Gothic"/>
                <w:b/>
                <w:bCs/>
                <w:sz w:val="16"/>
                <w:szCs w:val="16"/>
                <w:vertAlign w:val="superscript"/>
              </w:rPr>
              <w:t>-1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of electricity</w:t>
            </w:r>
          </w:p>
          <w:p w14:paraId="0819D874" w14:textId="2F93A000" w:rsidR="00713625" w:rsidRPr="00B74705" w:rsidRDefault="00723028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418.4</w:t>
            </w:r>
            <w:r w:rsidR="00A83EF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g of waste</w:t>
            </w:r>
          </w:p>
          <w:p w14:paraId="7B62B51A" w14:textId="073A2832" w:rsidR="00723028" w:rsidRPr="00B74705" w:rsidRDefault="00723028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Global warming potential of 1.578 kg CO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  <w:vertAlign w:val="subscript"/>
              </w:rPr>
              <w:t>2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equivalent</w:t>
            </w:r>
          </w:p>
        </w:tc>
        <w:tc>
          <w:tcPr>
            <w:tcW w:w="3308" w:type="dxa"/>
            <w:vAlign w:val="center"/>
          </w:tcPr>
          <w:p w14:paraId="7234A712" w14:textId="4D6DF9D7" w:rsidR="001D3ABB" w:rsidRDefault="00723028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0.932 </w:t>
            </w:r>
            <w:r w:rsidR="001D3ABB"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kWh</w:t>
            </w:r>
            <w:r w:rsidR="001D3AB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1D3ABB"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kg</w:t>
            </w:r>
            <w:r w:rsidR="001D3ABB">
              <w:rPr>
                <w:rFonts w:ascii="Century Gothic" w:hAnsi="Century Gothic"/>
                <w:b/>
                <w:bCs/>
                <w:sz w:val="16"/>
                <w:szCs w:val="16"/>
                <w:vertAlign w:val="superscript"/>
              </w:rPr>
              <w:t>-1</w:t>
            </w:r>
            <w:r w:rsidR="001D3ABB"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of electricity</w:t>
            </w:r>
          </w:p>
          <w:p w14:paraId="42F55EA9" w14:textId="0F167EC8" w:rsidR="00723028" w:rsidRPr="00B74705" w:rsidRDefault="00723028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171.2</w:t>
            </w:r>
            <w:r w:rsidR="001D3AB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g of waste</w:t>
            </w:r>
          </w:p>
          <w:p w14:paraId="14CA9C4F" w14:textId="06C3D084" w:rsidR="00713625" w:rsidRPr="00B74705" w:rsidRDefault="00723028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Global warming potential of 1.385 kg CO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  <w:vertAlign w:val="subscript"/>
              </w:rPr>
              <w:t>2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equivalent (if used 5 times)</w:t>
            </w:r>
          </w:p>
        </w:tc>
        <w:tc>
          <w:tcPr>
            <w:tcW w:w="3308" w:type="dxa"/>
            <w:vAlign w:val="center"/>
          </w:tcPr>
          <w:p w14:paraId="7BD90187" w14:textId="6D0A71AE" w:rsidR="003D771B" w:rsidRDefault="00723028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0.06 </w:t>
            </w:r>
            <w:r w:rsidR="001D3ABB"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kWh</w:t>
            </w:r>
            <w:r w:rsidR="001D3AB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1D3ABB"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kg</w:t>
            </w:r>
            <w:r w:rsidR="001D3ABB">
              <w:rPr>
                <w:rFonts w:ascii="Century Gothic" w:hAnsi="Century Gothic"/>
                <w:b/>
                <w:bCs/>
                <w:sz w:val="16"/>
                <w:szCs w:val="16"/>
                <w:vertAlign w:val="superscript"/>
              </w:rPr>
              <w:t>-1</w:t>
            </w:r>
            <w:r w:rsidR="001D3ABB"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of electricity</w:t>
            </w:r>
            <w:r w:rsidR="003D771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36032295" w14:textId="44B814CD" w:rsidR="003D771B" w:rsidRDefault="00723028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1,800</w:t>
            </w:r>
            <w:r w:rsidR="003D771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g of waste</w:t>
            </w:r>
          </w:p>
          <w:p w14:paraId="3BDB51E6" w14:textId="7A42F578" w:rsidR="00713625" w:rsidRPr="00B74705" w:rsidRDefault="00723028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Global warming potential of 1.570</w:t>
            </w:r>
            <w:r w:rsidR="003D771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kg CO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  <w:vertAlign w:val="subscript"/>
              </w:rPr>
              <w:t>2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equivalent (if used 173 times)</w:t>
            </w:r>
          </w:p>
        </w:tc>
      </w:tr>
      <w:tr w:rsidR="00713625" w:rsidRPr="00985C41" w14:paraId="30CB6FA6" w14:textId="77777777" w:rsidTr="00EB0443">
        <w:trPr>
          <w:trHeight w:val="482"/>
          <w:jc w:val="center"/>
        </w:trPr>
        <w:tc>
          <w:tcPr>
            <w:tcW w:w="1555" w:type="dxa"/>
            <w:vMerge w:val="restart"/>
            <w:vAlign w:val="center"/>
          </w:tcPr>
          <w:p w14:paraId="5A495AC0" w14:textId="77777777" w:rsidR="00713625" w:rsidRPr="0079213E" w:rsidRDefault="00713625" w:rsidP="005959F1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</w:pPr>
            <w:r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Transport</w:t>
            </w:r>
          </w:p>
        </w:tc>
        <w:tc>
          <w:tcPr>
            <w:tcW w:w="2976" w:type="dxa"/>
            <w:vAlign w:val="center"/>
          </w:tcPr>
          <w:p w14:paraId="4B2B5D81" w14:textId="77777777" w:rsidR="00713625" w:rsidRPr="0079213E" w:rsidRDefault="00713625" w:rsidP="005959F1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Where is the geographic location of the raw materials?</w:t>
            </w:r>
          </w:p>
        </w:tc>
        <w:tc>
          <w:tcPr>
            <w:tcW w:w="3307" w:type="dxa"/>
            <w:vAlign w:val="center"/>
          </w:tcPr>
          <w:p w14:paraId="59AEEAF7" w14:textId="4F061FA5" w:rsidR="00713625" w:rsidRPr="00B74705" w:rsidRDefault="00EC152D" w:rsidP="0079213E">
            <w:pPr>
              <w:spacing w:before="60" w:after="60" w:line="259" w:lineRule="auto"/>
              <w:ind w:left="22" w:right="-1" w:firstLine="1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C152D">
              <w:rPr>
                <w:rFonts w:ascii="Century Gothic" w:hAnsi="Century Gothic"/>
                <w:b/>
                <w:bCs/>
                <w:sz w:val="16"/>
                <w:szCs w:val="16"/>
              </w:rPr>
              <w:t>China/ Indonesia/Malaysia</w:t>
            </w:r>
          </w:p>
        </w:tc>
        <w:tc>
          <w:tcPr>
            <w:tcW w:w="3308" w:type="dxa"/>
            <w:vAlign w:val="center"/>
          </w:tcPr>
          <w:p w14:paraId="2678DC0D" w14:textId="74F3D226" w:rsidR="00713625" w:rsidRPr="00B74705" w:rsidRDefault="00723028" w:rsidP="0079213E">
            <w:pPr>
              <w:spacing w:before="60" w:after="60" w:line="259" w:lineRule="auto"/>
              <w:ind w:left="22" w:right="-1" w:hanging="11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Turkey</w:t>
            </w:r>
          </w:p>
        </w:tc>
        <w:tc>
          <w:tcPr>
            <w:tcW w:w="3308" w:type="dxa"/>
            <w:vAlign w:val="center"/>
          </w:tcPr>
          <w:p w14:paraId="059E9BCB" w14:textId="6CBA5C2F" w:rsidR="00713625" w:rsidRPr="00B74705" w:rsidRDefault="00723028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China</w:t>
            </w:r>
          </w:p>
        </w:tc>
      </w:tr>
      <w:tr w:rsidR="00713625" w:rsidRPr="00985C41" w14:paraId="0B6C1E7E" w14:textId="77777777" w:rsidTr="00EB0443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14:paraId="0786EFED" w14:textId="77777777" w:rsidR="00713625" w:rsidRPr="0079213E" w:rsidRDefault="00713625" w:rsidP="005959F1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5EAF088C" w14:textId="38F8DC67" w:rsidR="00713625" w:rsidRPr="0079213E" w:rsidRDefault="00713625" w:rsidP="005959F1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What </w:t>
            </w:r>
            <w:r w:rsidR="00EC152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are t</w:t>
            </w: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he method</w:t>
            </w:r>
            <w:r w:rsidR="00EC152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</w:t>
            </w: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of transport?</w:t>
            </w:r>
          </w:p>
        </w:tc>
        <w:tc>
          <w:tcPr>
            <w:tcW w:w="3307" w:type="dxa"/>
            <w:vAlign w:val="center"/>
          </w:tcPr>
          <w:p w14:paraId="7BE7DE90" w14:textId="3D9FDDB5" w:rsidR="00713625" w:rsidRPr="00B74705" w:rsidRDefault="00723028" w:rsidP="0079213E">
            <w:pPr>
              <w:spacing w:before="60" w:after="60" w:line="259" w:lineRule="auto"/>
              <w:ind w:left="22" w:right="-1" w:firstLine="1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Lorry</w:t>
            </w:r>
            <w:r w:rsidR="00BA78BC">
              <w:rPr>
                <w:rFonts w:ascii="Century Gothic" w:hAnsi="Century Gothic"/>
                <w:b/>
                <w:bCs/>
                <w:sz w:val="16"/>
                <w:szCs w:val="16"/>
              </w:rPr>
              <w:t>, s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ea freight</w:t>
            </w:r>
            <w:r w:rsidR="00BA78B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and r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ail</w:t>
            </w:r>
          </w:p>
        </w:tc>
        <w:tc>
          <w:tcPr>
            <w:tcW w:w="3308" w:type="dxa"/>
            <w:vAlign w:val="center"/>
          </w:tcPr>
          <w:p w14:paraId="0952363F" w14:textId="300538A8" w:rsidR="00713625" w:rsidRPr="00B74705" w:rsidRDefault="00723028" w:rsidP="0079213E">
            <w:pPr>
              <w:spacing w:before="60" w:after="60" w:line="259" w:lineRule="auto"/>
              <w:ind w:left="22" w:right="-1" w:hanging="11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Lorry</w:t>
            </w:r>
            <w:r w:rsidR="00BA78BC">
              <w:rPr>
                <w:rFonts w:ascii="Century Gothic" w:hAnsi="Century Gothic"/>
                <w:b/>
                <w:bCs/>
                <w:sz w:val="16"/>
                <w:szCs w:val="16"/>
              </w:rPr>
              <w:t>, s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ea freight</w:t>
            </w:r>
            <w:r w:rsidR="00BA78B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and r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ail</w:t>
            </w:r>
          </w:p>
        </w:tc>
        <w:tc>
          <w:tcPr>
            <w:tcW w:w="3308" w:type="dxa"/>
            <w:vAlign w:val="center"/>
          </w:tcPr>
          <w:p w14:paraId="31F7D326" w14:textId="6F9ECD5C" w:rsidR="00713625" w:rsidRPr="00B74705" w:rsidRDefault="00723028" w:rsidP="00BA78BC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Lorry</w:t>
            </w:r>
            <w:r w:rsidR="00BA78B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and s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ea freight</w:t>
            </w:r>
          </w:p>
        </w:tc>
      </w:tr>
      <w:tr w:rsidR="00713625" w:rsidRPr="00985C41" w14:paraId="297520D0" w14:textId="77777777" w:rsidTr="00EB0443">
        <w:trPr>
          <w:trHeight w:val="482"/>
          <w:jc w:val="center"/>
        </w:trPr>
        <w:tc>
          <w:tcPr>
            <w:tcW w:w="1555" w:type="dxa"/>
            <w:vMerge w:val="restart"/>
            <w:vAlign w:val="center"/>
          </w:tcPr>
          <w:p w14:paraId="4DDA7867" w14:textId="77777777" w:rsidR="00713625" w:rsidRPr="0079213E" w:rsidRDefault="00713625" w:rsidP="005959F1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</w:pPr>
            <w:r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Consumer use</w:t>
            </w:r>
          </w:p>
        </w:tc>
        <w:tc>
          <w:tcPr>
            <w:tcW w:w="2976" w:type="dxa"/>
            <w:vAlign w:val="center"/>
          </w:tcPr>
          <w:p w14:paraId="5149DCD6" w14:textId="6637D983" w:rsidR="00713625" w:rsidRPr="0079213E" w:rsidRDefault="00EA2558" w:rsidP="005959F1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How many bags are needed for a month’s shopping?</w:t>
            </w:r>
          </w:p>
        </w:tc>
        <w:tc>
          <w:tcPr>
            <w:tcW w:w="3307" w:type="dxa"/>
            <w:vAlign w:val="center"/>
          </w:tcPr>
          <w:p w14:paraId="19A9DA48" w14:textId="798189F0" w:rsidR="00713625" w:rsidRPr="00B74705" w:rsidRDefault="0079213E" w:rsidP="0079213E">
            <w:pPr>
              <w:spacing w:before="60" w:after="60" w:line="259" w:lineRule="auto"/>
              <w:ind w:left="22" w:right="-1" w:firstLine="1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82.14</w:t>
            </w:r>
          </w:p>
        </w:tc>
        <w:tc>
          <w:tcPr>
            <w:tcW w:w="3308" w:type="dxa"/>
            <w:vAlign w:val="center"/>
          </w:tcPr>
          <w:p w14:paraId="2427BC26" w14:textId="2A89C346" w:rsidR="00713625" w:rsidRPr="00B74705" w:rsidRDefault="0079213E" w:rsidP="0079213E">
            <w:pPr>
              <w:spacing w:before="60" w:after="60" w:line="259" w:lineRule="auto"/>
              <w:ind w:left="22" w:right="-1" w:hanging="11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60.68</w:t>
            </w:r>
          </w:p>
        </w:tc>
        <w:tc>
          <w:tcPr>
            <w:tcW w:w="3308" w:type="dxa"/>
            <w:vAlign w:val="center"/>
          </w:tcPr>
          <w:p w14:paraId="2369B5EE" w14:textId="20FC9456" w:rsidR="00713625" w:rsidRPr="00B74705" w:rsidRDefault="0079213E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45.59</w:t>
            </w:r>
          </w:p>
        </w:tc>
      </w:tr>
      <w:tr w:rsidR="00713625" w:rsidRPr="00985C41" w14:paraId="391CD18C" w14:textId="77777777" w:rsidTr="00EB0443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14:paraId="0D788BA1" w14:textId="77777777" w:rsidR="00713625" w:rsidRPr="0079213E" w:rsidRDefault="00713625" w:rsidP="005959F1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64915E93" w14:textId="77777777" w:rsidR="00713625" w:rsidRPr="0079213E" w:rsidRDefault="00713625" w:rsidP="005959F1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How many times is the consumer likely to reuse the bag?</w:t>
            </w:r>
          </w:p>
        </w:tc>
        <w:tc>
          <w:tcPr>
            <w:tcW w:w="3307" w:type="dxa"/>
            <w:vAlign w:val="center"/>
          </w:tcPr>
          <w:p w14:paraId="37E62B5C" w14:textId="30976414" w:rsidR="00713625" w:rsidRPr="00B74705" w:rsidRDefault="00723028" w:rsidP="0079213E">
            <w:pPr>
              <w:spacing w:before="60" w:after="60" w:line="259" w:lineRule="auto"/>
              <w:ind w:left="22" w:right="-1" w:hanging="2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About half of all respondents reused single-use bags</w:t>
            </w:r>
            <w:r w:rsidR="0079213E"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but not for their primary use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. </w:t>
            </w:r>
            <w:r w:rsidR="0079213E"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The most common secondary use is 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as a bin liner.</w:t>
            </w:r>
          </w:p>
        </w:tc>
        <w:tc>
          <w:tcPr>
            <w:tcW w:w="3308" w:type="dxa"/>
            <w:vAlign w:val="center"/>
          </w:tcPr>
          <w:p w14:paraId="141A28DD" w14:textId="5126E77B" w:rsidR="00713625" w:rsidRPr="00B74705" w:rsidRDefault="00723028" w:rsidP="0079213E">
            <w:pPr>
              <w:spacing w:before="60" w:after="60" w:line="259" w:lineRule="auto"/>
              <w:ind w:left="22" w:right="-1" w:hanging="11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5 times</w:t>
            </w:r>
          </w:p>
        </w:tc>
        <w:tc>
          <w:tcPr>
            <w:tcW w:w="3308" w:type="dxa"/>
            <w:vAlign w:val="center"/>
          </w:tcPr>
          <w:p w14:paraId="4A9E61DA" w14:textId="2782EA92" w:rsidR="00713625" w:rsidRPr="00B74705" w:rsidRDefault="00723028" w:rsidP="0079213E">
            <w:pPr>
              <w:spacing w:before="60" w:after="60" w:line="259" w:lineRule="auto"/>
              <w:ind w:left="22" w:right="-1" w:hanging="11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Multiple times. Although, </w:t>
            </w:r>
            <w:r w:rsidR="00EB0443">
              <w:rPr>
                <w:rFonts w:ascii="Century Gothic" w:hAnsi="Century Gothic"/>
                <w:b/>
                <w:bCs/>
                <w:sz w:val="16"/>
                <w:szCs w:val="16"/>
              </w:rPr>
              <w:t>needs to be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EB0443">
              <w:rPr>
                <w:rFonts w:ascii="Century Gothic" w:hAnsi="Century Gothic"/>
                <w:b/>
                <w:bCs/>
                <w:sz w:val="16"/>
                <w:szCs w:val="16"/>
              </w:rPr>
              <w:t>173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times needed to reduce the global warming potential below that of the single-use bag.</w:t>
            </w:r>
          </w:p>
        </w:tc>
      </w:tr>
      <w:tr w:rsidR="00713625" w:rsidRPr="00985C41" w14:paraId="1DC36AD7" w14:textId="77777777" w:rsidTr="00EB0443">
        <w:trPr>
          <w:trHeight w:val="482"/>
          <w:jc w:val="center"/>
        </w:trPr>
        <w:tc>
          <w:tcPr>
            <w:tcW w:w="1555" w:type="dxa"/>
            <w:vAlign w:val="center"/>
          </w:tcPr>
          <w:p w14:paraId="219FAA2C" w14:textId="27133BA4" w:rsidR="00713625" w:rsidRPr="0079213E" w:rsidRDefault="000B1D54" w:rsidP="005959F1">
            <w:pPr>
              <w:spacing w:before="60" w:after="60" w:line="259" w:lineRule="auto"/>
              <w:ind w:left="22" w:right="34" w:hanging="22"/>
              <w:jc w:val="left"/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D</w:t>
            </w:r>
            <w:r w:rsidR="00713625" w:rsidRPr="0079213E">
              <w:rPr>
                <w:rFonts w:ascii="Century Gothic" w:hAnsi="Century Gothic"/>
                <w:b/>
                <w:bCs/>
                <w:color w:val="C8102E"/>
                <w:sz w:val="16"/>
                <w:szCs w:val="16"/>
              </w:rPr>
              <w:t>isposal</w:t>
            </w:r>
          </w:p>
        </w:tc>
        <w:tc>
          <w:tcPr>
            <w:tcW w:w="2976" w:type="dxa"/>
            <w:vAlign w:val="center"/>
          </w:tcPr>
          <w:p w14:paraId="05502A50" w14:textId="0C726B97" w:rsidR="00713625" w:rsidRPr="0079213E" w:rsidRDefault="00713625" w:rsidP="005959F1">
            <w:pPr>
              <w:spacing w:before="60" w:after="60" w:line="259" w:lineRule="auto"/>
              <w:ind w:left="22" w:right="33" w:hanging="22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How is the bag disposed </w:t>
            </w:r>
            <w:r w:rsidR="008E73D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of </w:t>
            </w:r>
            <w:r w:rsidRPr="0079213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at the end of its useful life? Can it be recycled?</w:t>
            </w:r>
          </w:p>
        </w:tc>
        <w:tc>
          <w:tcPr>
            <w:tcW w:w="3307" w:type="dxa"/>
            <w:vAlign w:val="center"/>
          </w:tcPr>
          <w:p w14:paraId="6F73E7BF" w14:textId="689CC481" w:rsidR="00713625" w:rsidRPr="00B74705" w:rsidRDefault="00723028" w:rsidP="0079213E">
            <w:pPr>
              <w:spacing w:before="60" w:after="60" w:line="259" w:lineRule="auto"/>
              <w:ind w:left="22" w:right="-1" w:firstLine="12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Landfill, incineration or recycling</w:t>
            </w:r>
          </w:p>
        </w:tc>
        <w:tc>
          <w:tcPr>
            <w:tcW w:w="3308" w:type="dxa"/>
            <w:vAlign w:val="center"/>
          </w:tcPr>
          <w:p w14:paraId="4C8E7C6D" w14:textId="3CAD228A" w:rsidR="00713625" w:rsidRPr="00B74705" w:rsidRDefault="00723028" w:rsidP="0079213E">
            <w:pPr>
              <w:spacing w:before="60" w:after="60" w:line="259" w:lineRule="auto"/>
              <w:ind w:left="22" w:right="-1" w:hanging="11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Landfill, incineration or recycling</w:t>
            </w:r>
          </w:p>
        </w:tc>
        <w:tc>
          <w:tcPr>
            <w:tcW w:w="3308" w:type="dxa"/>
            <w:vAlign w:val="center"/>
          </w:tcPr>
          <w:p w14:paraId="1048C6EF" w14:textId="77777777" w:rsidR="00A17AEC" w:rsidRDefault="00723028" w:rsidP="0079213E">
            <w:pPr>
              <w:spacing w:before="60" w:after="60" w:line="259" w:lineRule="auto"/>
              <w:ind w:left="22" w:right="-1" w:hanging="34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Landfill or incineration.</w:t>
            </w:r>
          </w:p>
          <w:p w14:paraId="11484D1F" w14:textId="0B90B8E5" w:rsidR="00713625" w:rsidRPr="00B74705" w:rsidRDefault="00723028" w:rsidP="0079213E">
            <w:pPr>
              <w:spacing w:before="60" w:after="60" w:line="259" w:lineRule="auto"/>
              <w:ind w:left="22" w:right="-1" w:hanging="34"/>
              <w:jc w:val="lef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Learners may offer other options</w:t>
            </w:r>
            <w:r w:rsidR="00A17AE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from their own experience </w:t>
            </w:r>
            <w:proofErr w:type="spellStart"/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eg</w:t>
            </w:r>
            <w:proofErr w:type="spellEnd"/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A17AEC">
              <w:rPr>
                <w:rFonts w:ascii="Century Gothic" w:hAnsi="Century Gothic"/>
                <w:b/>
                <w:bCs/>
                <w:sz w:val="16"/>
                <w:szCs w:val="16"/>
              </w:rPr>
              <w:t>f</w:t>
            </w:r>
            <w:r w:rsidRPr="00B74705">
              <w:rPr>
                <w:rFonts w:ascii="Century Gothic" w:hAnsi="Century Gothic"/>
                <w:b/>
                <w:bCs/>
                <w:sz w:val="16"/>
                <w:szCs w:val="16"/>
              </w:rPr>
              <w:t>abric recycling.</w:t>
            </w:r>
          </w:p>
        </w:tc>
      </w:tr>
    </w:tbl>
    <w:p w14:paraId="351F0107" w14:textId="77777777" w:rsidR="00713625" w:rsidRDefault="00713625" w:rsidP="00713625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</w:p>
    <w:p w14:paraId="39CDE5B6" w14:textId="226727BB" w:rsidR="00CF75CE" w:rsidRDefault="00CB1B95" w:rsidP="0079213E">
      <w:pPr>
        <w:pStyle w:val="RSCnumberedlist"/>
        <w:rPr>
          <w:lang w:eastAsia="en-GB"/>
        </w:rPr>
      </w:pPr>
      <w:r>
        <w:rPr>
          <w:lang w:eastAsia="en-GB"/>
        </w:rPr>
        <w:tab/>
      </w:r>
      <w:r w:rsidR="0079213E">
        <w:rPr>
          <w:lang w:eastAsia="en-GB"/>
        </w:rPr>
        <w:t>This is an open-ended question and learners</w:t>
      </w:r>
      <w:r w:rsidR="00904EF2">
        <w:rPr>
          <w:lang w:eastAsia="en-GB"/>
        </w:rPr>
        <w:t>’</w:t>
      </w:r>
      <w:r w:rsidR="0079213E">
        <w:rPr>
          <w:lang w:eastAsia="en-GB"/>
        </w:rPr>
        <w:t xml:space="preserve"> answers will differ. </w:t>
      </w:r>
      <w:r w:rsidR="00904EF2">
        <w:rPr>
          <w:lang w:eastAsia="en-GB"/>
        </w:rPr>
        <w:t>Learners should justify their a</w:t>
      </w:r>
      <w:r w:rsidR="0079213E">
        <w:rPr>
          <w:lang w:eastAsia="en-GB"/>
        </w:rPr>
        <w:t>nswers with supporting evidence from the LCA.</w:t>
      </w:r>
    </w:p>
    <w:p w14:paraId="3EA97DA6" w14:textId="18187701" w:rsidR="0079213E" w:rsidRDefault="00B74705" w:rsidP="0079213E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br/>
      </w:r>
      <w:r w:rsidR="0079213E">
        <w:rPr>
          <w:lang w:eastAsia="en-GB"/>
        </w:rPr>
        <w:t>Examples of learner answers could include:</w:t>
      </w:r>
    </w:p>
    <w:p w14:paraId="75BEE9C1" w14:textId="77777777" w:rsidR="0079213E" w:rsidRDefault="0079213E" w:rsidP="0079213E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</w:p>
    <w:p w14:paraId="6FB2B1D2" w14:textId="3A392D0C" w:rsidR="0079213E" w:rsidRDefault="0079213E" w:rsidP="0079213E">
      <w:pPr>
        <w:pStyle w:val="RSCBulletedlist"/>
        <w:rPr>
          <w:lang w:eastAsia="en-GB"/>
        </w:rPr>
      </w:pPr>
      <w:r>
        <w:rPr>
          <w:lang w:eastAsia="en-GB"/>
        </w:rPr>
        <w:t xml:space="preserve">Reusable plastic bags have the least environmental impact because they produce the least amount of waste during manufacture, they have the lowest </w:t>
      </w:r>
      <w:r w:rsidR="00B74705">
        <w:rPr>
          <w:lang w:eastAsia="en-GB"/>
        </w:rPr>
        <w:t>g</w:t>
      </w:r>
      <w:r>
        <w:rPr>
          <w:lang w:eastAsia="en-GB"/>
        </w:rPr>
        <w:t xml:space="preserve">lobal warming potential and can be </w:t>
      </w:r>
      <w:r w:rsidR="00B74705">
        <w:rPr>
          <w:lang w:eastAsia="en-GB"/>
        </w:rPr>
        <w:t xml:space="preserve">recycled at the end of their useful life. A suggested action that the </w:t>
      </w:r>
      <w:r w:rsidR="008B2659">
        <w:rPr>
          <w:lang w:eastAsia="en-GB"/>
        </w:rPr>
        <w:t>g</w:t>
      </w:r>
      <w:r w:rsidR="00B74705">
        <w:rPr>
          <w:lang w:eastAsia="en-GB"/>
        </w:rPr>
        <w:t>overnment could take is to introduce a discount on shopping if you remember to bring reusable carrier bags. This would help to encourage reuse of bags which is the best way to reduce the environmental impact.</w:t>
      </w:r>
    </w:p>
    <w:p w14:paraId="2A3999E6" w14:textId="5D58CCCE" w:rsidR="0048778B" w:rsidRDefault="0048778B" w:rsidP="0079213E">
      <w:pPr>
        <w:pStyle w:val="RSCBulletedlist"/>
        <w:rPr>
          <w:lang w:eastAsia="en-GB"/>
        </w:rPr>
      </w:pPr>
      <w:r>
        <w:rPr>
          <w:lang w:eastAsia="en-GB"/>
        </w:rPr>
        <w:t xml:space="preserve">Single-use plastic bags have the least environmental impact because they require the least amount </w:t>
      </w:r>
      <w:r w:rsidR="00EB0443">
        <w:rPr>
          <w:lang w:eastAsia="en-GB"/>
        </w:rPr>
        <w:t xml:space="preserve">raw material </w:t>
      </w:r>
      <w:proofErr w:type="gramStart"/>
      <w:r w:rsidR="00EB0443">
        <w:rPr>
          <w:lang w:eastAsia="en-GB"/>
        </w:rPr>
        <w:t xml:space="preserve">and </w:t>
      </w:r>
      <w:r>
        <w:rPr>
          <w:lang w:eastAsia="en-GB"/>
        </w:rPr>
        <w:t xml:space="preserve"> electricity</w:t>
      </w:r>
      <w:proofErr w:type="gramEnd"/>
      <w:r>
        <w:rPr>
          <w:lang w:eastAsia="en-GB"/>
        </w:rPr>
        <w:t xml:space="preserve"> to produce</w:t>
      </w:r>
      <w:r w:rsidR="00EB0443">
        <w:rPr>
          <w:lang w:eastAsia="en-GB"/>
        </w:rPr>
        <w:t xml:space="preserve">. Plus, </w:t>
      </w:r>
      <w:r>
        <w:rPr>
          <w:lang w:eastAsia="en-GB"/>
        </w:rPr>
        <w:t>they have a secondary use as bin liners</w:t>
      </w:r>
      <w:r w:rsidR="00E347D9">
        <w:rPr>
          <w:lang w:eastAsia="en-GB"/>
        </w:rPr>
        <w:t>,</w:t>
      </w:r>
      <w:r>
        <w:rPr>
          <w:lang w:eastAsia="en-GB"/>
        </w:rPr>
        <w:t xml:space="preserve"> which reduces the need for producing single-use bin liners which would have a high environmental impact. A suggested action that the </w:t>
      </w:r>
      <w:r w:rsidR="008B2659">
        <w:rPr>
          <w:lang w:eastAsia="en-GB"/>
        </w:rPr>
        <w:t>g</w:t>
      </w:r>
      <w:r>
        <w:rPr>
          <w:lang w:eastAsia="en-GB"/>
        </w:rPr>
        <w:t xml:space="preserve">overnment could take is to ban the sale of bin liners to encourage the reuse of items that have a different primary use. </w:t>
      </w:r>
    </w:p>
    <w:p w14:paraId="2574F18E" w14:textId="57A4B838" w:rsidR="00B74705" w:rsidRDefault="00B74705" w:rsidP="0079213E">
      <w:pPr>
        <w:pStyle w:val="RSCBulletedlist"/>
        <w:rPr>
          <w:lang w:eastAsia="en-GB"/>
        </w:rPr>
      </w:pPr>
      <w:r>
        <w:rPr>
          <w:lang w:eastAsia="en-GB"/>
        </w:rPr>
        <w:t xml:space="preserve">Cotton bags have the least environmental impact because they are made from a renewable resource. They can carry the largest number of items of shopping so you need fewer </w:t>
      </w:r>
      <w:proofErr w:type="gramStart"/>
      <w:r>
        <w:rPr>
          <w:lang w:eastAsia="en-GB"/>
        </w:rPr>
        <w:t>bags</w:t>
      </w:r>
      <w:proofErr w:type="gramEnd"/>
      <w:r>
        <w:rPr>
          <w:lang w:eastAsia="en-GB"/>
        </w:rPr>
        <w:t xml:space="preserve"> and they can be reused a greater number of times before breaking. A suggested action that the </w:t>
      </w:r>
      <w:r w:rsidR="008B2659">
        <w:rPr>
          <w:lang w:eastAsia="en-GB"/>
        </w:rPr>
        <w:t>g</w:t>
      </w:r>
      <w:r>
        <w:rPr>
          <w:lang w:eastAsia="en-GB"/>
        </w:rPr>
        <w:t>overnment could take is to introduce a ‘plastic tax’ to make the manufacture and use of plastic carrier bags expensive and force retailers to switch to renewable alternatives.</w:t>
      </w:r>
      <w:r w:rsidR="0048778B">
        <w:rPr>
          <w:lang w:eastAsia="en-GB"/>
        </w:rPr>
        <w:t xml:space="preserve"> </w:t>
      </w:r>
      <w:r w:rsidR="0048778B" w:rsidRPr="0048778B">
        <w:rPr>
          <w:i/>
          <w:iCs/>
          <w:color w:val="C8102E"/>
          <w:lang w:eastAsia="en-GB"/>
        </w:rPr>
        <w:t>See note below.</w:t>
      </w:r>
    </w:p>
    <w:p w14:paraId="4FBC561F" w14:textId="77777777" w:rsidR="00B74705" w:rsidRDefault="00B74705" w:rsidP="00B74705">
      <w:pPr>
        <w:pStyle w:val="RSCH4"/>
        <w:rPr>
          <w:lang w:eastAsia="en-GB"/>
        </w:rPr>
      </w:pPr>
      <w:r>
        <w:rPr>
          <w:lang w:eastAsia="en-GB"/>
        </w:rPr>
        <w:t>Note:</w:t>
      </w:r>
    </w:p>
    <w:p w14:paraId="6A3E04EB" w14:textId="1C9C956A" w:rsidR="00CB1B95" w:rsidRDefault="00B74705" w:rsidP="005F07F9">
      <w:pPr>
        <w:pStyle w:val="RSCBasictext"/>
        <w:rPr>
          <w:lang w:eastAsia="en-GB"/>
        </w:rPr>
      </w:pPr>
      <w:r>
        <w:rPr>
          <w:lang w:eastAsia="en-GB"/>
        </w:rPr>
        <w:t xml:space="preserve">Although this </w:t>
      </w:r>
      <w:r w:rsidR="00DA1011">
        <w:rPr>
          <w:lang w:eastAsia="en-GB"/>
        </w:rPr>
        <w:t>is</w:t>
      </w:r>
      <w:r>
        <w:rPr>
          <w:lang w:eastAsia="en-GB"/>
        </w:rPr>
        <w:t xml:space="preserve"> a valid learner response, the answer that cotton bags have the least environmental impact </w:t>
      </w:r>
      <w:r w:rsidR="00FE5E69">
        <w:rPr>
          <w:lang w:eastAsia="en-GB"/>
        </w:rPr>
        <w:t>is</w:t>
      </w:r>
      <w:r w:rsidR="0048778B">
        <w:rPr>
          <w:lang w:eastAsia="en-GB"/>
        </w:rPr>
        <w:t xml:space="preserve"> incorrect</w:t>
      </w:r>
      <w:r>
        <w:rPr>
          <w:lang w:eastAsia="en-GB"/>
        </w:rPr>
        <w:t xml:space="preserve"> based on the information used in the Environment Agency </w:t>
      </w:r>
      <w:r w:rsidR="00215598">
        <w:rPr>
          <w:lang w:eastAsia="en-GB"/>
        </w:rPr>
        <w:t>LCA</w:t>
      </w:r>
      <w:r>
        <w:rPr>
          <w:lang w:eastAsia="en-GB"/>
        </w:rPr>
        <w:t xml:space="preserve">. The Environment Agency concluded that: </w:t>
      </w:r>
      <w:r w:rsidR="001C66DF">
        <w:rPr>
          <w:lang w:eastAsia="en-GB"/>
        </w:rPr>
        <w:t>‘</w:t>
      </w:r>
      <w:r>
        <w:rPr>
          <w:lang w:eastAsia="en-GB"/>
        </w:rPr>
        <w:t xml:space="preserve">The cotton bag has a greater impact than the </w:t>
      </w:r>
      <w:r w:rsidR="00EB0443">
        <w:rPr>
          <w:lang w:eastAsia="en-GB"/>
        </w:rPr>
        <w:t>[single-use plastic]</w:t>
      </w:r>
      <w:r>
        <w:rPr>
          <w:lang w:eastAsia="en-GB"/>
        </w:rPr>
        <w:t xml:space="preserve"> bag in seven of the nine impact categories even when used 173 times (</w:t>
      </w:r>
      <w:proofErr w:type="spellStart"/>
      <w:r>
        <w:rPr>
          <w:lang w:eastAsia="en-GB"/>
        </w:rPr>
        <w:t>ie</w:t>
      </w:r>
      <w:proofErr w:type="spellEnd"/>
      <w:r>
        <w:rPr>
          <w:lang w:eastAsia="en-GB"/>
        </w:rPr>
        <w:t xml:space="preserve"> the number of uses required to reduce the </w:t>
      </w:r>
      <w:r w:rsidR="00200EFB">
        <w:rPr>
          <w:lang w:eastAsia="en-GB"/>
        </w:rPr>
        <w:t>global warming potential</w:t>
      </w:r>
      <w:r>
        <w:rPr>
          <w:lang w:eastAsia="en-GB"/>
        </w:rPr>
        <w:t xml:space="preserve"> of the cotton bag to that of the </w:t>
      </w:r>
      <w:r w:rsidR="00EB0443">
        <w:rPr>
          <w:lang w:eastAsia="en-GB"/>
        </w:rPr>
        <w:t xml:space="preserve">[single-use plastic] </w:t>
      </w:r>
      <w:r>
        <w:rPr>
          <w:lang w:eastAsia="en-GB"/>
        </w:rPr>
        <w:t xml:space="preserve">bag with average secondary reuse). The impact was considerably larger in categories such as acidification and aquatic and </w:t>
      </w:r>
      <w:r w:rsidR="00EC152D">
        <w:rPr>
          <w:lang w:eastAsia="en-GB"/>
        </w:rPr>
        <w:t xml:space="preserve">terrestrial </w:t>
      </w:r>
      <w:r>
        <w:rPr>
          <w:lang w:eastAsia="en-GB"/>
        </w:rPr>
        <w:t>ecotoxicity due to the energy used to produce cotton yarn and the fertilisers used during the growth of the cotton.</w:t>
      </w:r>
      <w:r w:rsidR="001C66DF">
        <w:rPr>
          <w:lang w:eastAsia="en-GB"/>
        </w:rPr>
        <w:t>’</w:t>
      </w:r>
      <w:r w:rsidR="00997588">
        <w:rPr>
          <w:lang w:eastAsia="en-GB"/>
        </w:rPr>
        <w:t xml:space="preserve"> An important factor is that </w:t>
      </w:r>
      <w:r w:rsidR="00997588">
        <w:t xml:space="preserve">far more material is needed to </w:t>
      </w:r>
      <w:r w:rsidR="00EB0443">
        <w:t>make one cotton bag.</w:t>
      </w:r>
    </w:p>
    <w:sectPr w:rsidR="00CB1B95" w:rsidSect="007C147F">
      <w:headerReference w:type="default" r:id="rId13"/>
      <w:footerReference w:type="default" r:id="rId14"/>
      <w:headerReference w:type="first" r:id="rId15"/>
      <w:type w:val="continuous"/>
      <w:pgSz w:w="16838" w:h="11906" w:orient="landscape"/>
      <w:pgMar w:top="1701" w:right="1440" w:bottom="1134" w:left="1440" w:header="431" w:footer="533" w:gutter="0"/>
      <w:cols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1545" w14:textId="77777777" w:rsidR="007C147F" w:rsidRDefault="007C147F" w:rsidP="000D3D40">
      <w:r>
        <w:separator/>
      </w:r>
    </w:p>
  </w:endnote>
  <w:endnote w:type="continuationSeparator" w:id="0">
    <w:p w14:paraId="47456916" w14:textId="77777777" w:rsidR="007C147F" w:rsidRDefault="007C147F" w:rsidP="000D3D40">
      <w:r>
        <w:continuationSeparator/>
      </w:r>
    </w:p>
  </w:endnote>
  <w:endnote w:type="continuationNotice" w:id="1">
    <w:p w14:paraId="63723DAF" w14:textId="77777777" w:rsidR="007C147F" w:rsidRDefault="007C14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72EE7A36" w14:textId="77777777" w:rsidR="002B74EE" w:rsidRPr="00166494" w:rsidRDefault="002B74EE" w:rsidP="002B74EE">
        <w:pPr>
          <w:framePr w:wrap="none" w:vAnchor="text" w:hAnchor="margin" w:xAlign="center" w:y="1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054408F2" w14:textId="4ACCF777" w:rsidR="006F6F73" w:rsidRPr="00166494" w:rsidRDefault="002B74EE" w:rsidP="00A21B41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66494">
      <w:rPr>
        <w:rFonts w:ascii="Century Gothic" w:hAnsi="Century Gothic"/>
        <w:sz w:val="16"/>
        <w:szCs w:val="16"/>
      </w:rPr>
      <w:t>© 202</w:t>
    </w:r>
    <w:r w:rsidR="00713625">
      <w:rPr>
        <w:rFonts w:ascii="Century Gothic" w:hAnsi="Century Gothic"/>
        <w:sz w:val="16"/>
        <w:szCs w:val="16"/>
      </w:rPr>
      <w:t>4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1626" w14:textId="77777777" w:rsidR="007C147F" w:rsidRDefault="007C147F" w:rsidP="000D3D40">
      <w:r>
        <w:separator/>
      </w:r>
    </w:p>
  </w:footnote>
  <w:footnote w:type="continuationSeparator" w:id="0">
    <w:p w14:paraId="1C4F3280" w14:textId="77777777" w:rsidR="007C147F" w:rsidRDefault="007C147F" w:rsidP="000D3D40">
      <w:r>
        <w:continuationSeparator/>
      </w:r>
    </w:p>
  </w:footnote>
  <w:footnote w:type="continuationNotice" w:id="1">
    <w:p w14:paraId="3208BEB3" w14:textId="77777777" w:rsidR="007C147F" w:rsidRDefault="007C14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287" w14:textId="2729BED3" w:rsidR="00C601F9" w:rsidRDefault="00E11229" w:rsidP="003E65E4">
    <w:pPr>
      <w:pStyle w:val="Header"/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54D0E7A4" wp14:editId="35C5C40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673373451" name="Picture 6733734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373451" name="Picture 6733734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699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79D62004" wp14:editId="7EFE23AB">
          <wp:simplePos x="0" y="0"/>
          <wp:positionH relativeFrom="column">
            <wp:posOffset>-920750</wp:posOffset>
          </wp:positionH>
          <wp:positionV relativeFrom="paragraph">
            <wp:posOffset>-273685</wp:posOffset>
          </wp:positionV>
          <wp:extent cx="10687050" cy="7551757"/>
          <wp:effectExtent l="0" t="0" r="0" b="5080"/>
          <wp:wrapNone/>
          <wp:docPr id="1465559594" name="Picture 14655595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559594" name="Picture 14655595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696000" cy="7558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625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D66F26" w:rsidRPr="00727A6A">
      <w:rPr>
        <w:rFonts w:ascii="Century Gothic" w:hAnsi="Century Gothic"/>
        <w:b/>
        <w:bCs/>
        <w:color w:val="C8102E"/>
        <w:sz w:val="30"/>
        <w:szCs w:val="30"/>
      </w:rPr>
      <w:t xml:space="preserve">   </w:t>
    </w:r>
    <w:r w:rsidR="003471D3">
      <w:rPr>
        <w:rFonts w:ascii="Century Gothic" w:hAnsi="Century Gothic"/>
        <w:b/>
        <w:bCs/>
        <w:color w:val="000000" w:themeColor="text1"/>
        <w:sz w:val="24"/>
        <w:szCs w:val="24"/>
      </w:rPr>
      <w:t>14–</w:t>
    </w:r>
    <w:r w:rsidR="00C601F9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B81832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3471D3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42DDF936" w14:textId="7B495DCF" w:rsidR="00D66F26" w:rsidRPr="00B9490C" w:rsidRDefault="00186773" w:rsidP="00D21C3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bookmarkStart w:id="0" w:name="_Hlk156983235"/>
    <w:r w:rsidRPr="00B9490C"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D21C3E" w:rsidRPr="00B9490C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D66F26" w:rsidRPr="00B9490C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B9490C" w:rsidRPr="00B9490C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rsc.li/3HPZ78N</w:t>
      </w:r>
    </w:hyperlink>
  </w:p>
  <w:bookmarkEnd w:id="0"/>
  <w:p w14:paraId="67C670B0" w14:textId="77777777" w:rsidR="00D66F26" w:rsidRPr="0086568B" w:rsidRDefault="00D66F26" w:rsidP="00D66F26">
    <w:pPr>
      <w:pStyle w:val="Header"/>
      <w:spacing w:after="86"/>
      <w:rPr>
        <w:rFonts w:ascii="Century Gothic" w:hAnsi="Century Gothic"/>
        <w:b/>
        <w:bCs/>
        <w:color w:val="006F62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E448" w14:textId="7A411BE1" w:rsidR="003034F2" w:rsidRDefault="003034F2" w:rsidP="007C64B1">
    <w:pPr>
      <w:pStyle w:val="Heading1"/>
      <w:spacing w:after="0"/>
      <w:ind w:left="14400"/>
    </w:pPr>
  </w:p>
  <w:p w14:paraId="7B6737A9" w14:textId="77777777" w:rsidR="00ED19EB" w:rsidRDefault="00ED19EB" w:rsidP="00ED19EB">
    <w:pPr>
      <w:spacing w:after="0"/>
      <w:contextualSpacing/>
    </w:pPr>
    <w:r w:rsidRPr="00BD2645">
      <w:t xml:space="preserve">Acids </w:t>
    </w:r>
    <w:r>
      <w:t xml:space="preserve">and </w:t>
    </w:r>
    <w:r w:rsidRPr="00BD2645">
      <w:t xml:space="preserve">Bases: </w:t>
    </w:r>
  </w:p>
  <w:p w14:paraId="50AAF8D5" w14:textId="47B104A5" w:rsidR="00B20667" w:rsidRPr="00BD2645" w:rsidRDefault="00C5189F" w:rsidP="00B20667">
    <w:pPr>
      <w:pStyle w:val="Heading1"/>
      <w:spacing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0E665DD" w14:textId="77777777" w:rsidR="443DF156" w:rsidRDefault="443DF156" w:rsidP="009875B2">
    <w:pPr>
      <w:pStyle w:val="Header"/>
      <w:jc w:val="right"/>
      <w:rPr>
        <w:noProof/>
      </w:rPr>
    </w:pPr>
  </w:p>
  <w:p w14:paraId="054408F3" w14:textId="792D5A27" w:rsidR="00343CBA" w:rsidRDefault="00343CBA" w:rsidP="009875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41.75pt;height:9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4F8D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127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7EE5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2E0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DC6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6A5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3071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CF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88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C6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BC7FBA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F81829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CE706E"/>
    <w:multiLevelType w:val="hybridMultilevel"/>
    <w:tmpl w:val="5F9A28AE"/>
    <w:lvl w:ilvl="0" w:tplc="75FA5496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437F5"/>
    <w:multiLevelType w:val="hybridMultilevel"/>
    <w:tmpl w:val="16982036"/>
    <w:lvl w:ilvl="0" w:tplc="65E8D8BA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1290E"/>
    <w:multiLevelType w:val="hybridMultilevel"/>
    <w:tmpl w:val="C5FCFEEA"/>
    <w:lvl w:ilvl="0" w:tplc="0DEC9AC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97039"/>
    <w:multiLevelType w:val="hybridMultilevel"/>
    <w:tmpl w:val="CF0ED05A"/>
    <w:lvl w:ilvl="0" w:tplc="BA76C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347A72"/>
    <w:multiLevelType w:val="hybridMultilevel"/>
    <w:tmpl w:val="C752328E"/>
    <w:lvl w:ilvl="0" w:tplc="FB00BB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0671E"/>
    <w:multiLevelType w:val="hybridMultilevel"/>
    <w:tmpl w:val="79BE135E"/>
    <w:lvl w:ilvl="0" w:tplc="DEB41A9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304F146F"/>
    <w:multiLevelType w:val="hybridMultilevel"/>
    <w:tmpl w:val="B68A61DC"/>
    <w:lvl w:ilvl="0" w:tplc="8866355A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145B7D"/>
    <w:multiLevelType w:val="hybridMultilevel"/>
    <w:tmpl w:val="3DD0CC9C"/>
    <w:lvl w:ilvl="0" w:tplc="13FC3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EF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4C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8C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89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C2D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CE6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A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25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04170FF"/>
    <w:multiLevelType w:val="hybridMultilevel"/>
    <w:tmpl w:val="FFFFFFFF"/>
    <w:lvl w:ilvl="0" w:tplc="6C94F972">
      <w:start w:val="1"/>
      <w:numFmt w:val="decimal"/>
      <w:lvlText w:val="%1."/>
      <w:lvlJc w:val="left"/>
      <w:pPr>
        <w:ind w:left="720" w:hanging="360"/>
      </w:pPr>
    </w:lvl>
    <w:lvl w:ilvl="1" w:tplc="31503E8A">
      <w:start w:val="1"/>
      <w:numFmt w:val="lowerLetter"/>
      <w:lvlText w:val="%2."/>
      <w:lvlJc w:val="left"/>
      <w:pPr>
        <w:ind w:left="1440" w:hanging="360"/>
      </w:pPr>
    </w:lvl>
    <w:lvl w:ilvl="2" w:tplc="B06A63B4">
      <w:start w:val="1"/>
      <w:numFmt w:val="lowerRoman"/>
      <w:lvlText w:val="%3."/>
      <w:lvlJc w:val="right"/>
      <w:pPr>
        <w:ind w:left="2160" w:hanging="180"/>
      </w:pPr>
    </w:lvl>
    <w:lvl w:ilvl="3" w:tplc="78C80C48">
      <w:start w:val="1"/>
      <w:numFmt w:val="decimal"/>
      <w:lvlText w:val="%4."/>
      <w:lvlJc w:val="left"/>
      <w:pPr>
        <w:ind w:left="2880" w:hanging="360"/>
      </w:pPr>
    </w:lvl>
    <w:lvl w:ilvl="4" w:tplc="AA226EB4">
      <w:start w:val="1"/>
      <w:numFmt w:val="lowerLetter"/>
      <w:lvlText w:val="%5."/>
      <w:lvlJc w:val="left"/>
      <w:pPr>
        <w:ind w:left="3600" w:hanging="360"/>
      </w:pPr>
    </w:lvl>
    <w:lvl w:ilvl="5" w:tplc="909A10A2">
      <w:start w:val="1"/>
      <w:numFmt w:val="lowerRoman"/>
      <w:lvlText w:val="%6."/>
      <w:lvlJc w:val="right"/>
      <w:pPr>
        <w:ind w:left="4320" w:hanging="180"/>
      </w:pPr>
    </w:lvl>
    <w:lvl w:ilvl="6" w:tplc="93DE1270">
      <w:start w:val="1"/>
      <w:numFmt w:val="decimal"/>
      <w:lvlText w:val="%7."/>
      <w:lvlJc w:val="left"/>
      <w:pPr>
        <w:ind w:left="5040" w:hanging="360"/>
      </w:pPr>
    </w:lvl>
    <w:lvl w:ilvl="7" w:tplc="C4DCB712">
      <w:start w:val="1"/>
      <w:numFmt w:val="lowerLetter"/>
      <w:lvlText w:val="%8."/>
      <w:lvlJc w:val="left"/>
      <w:pPr>
        <w:ind w:left="5760" w:hanging="360"/>
      </w:pPr>
    </w:lvl>
    <w:lvl w:ilvl="8" w:tplc="CEC852D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7E54C0"/>
    <w:multiLevelType w:val="multilevel"/>
    <w:tmpl w:val="2A8EDE64"/>
    <w:styleLink w:val="CurrentList13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37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5D6303"/>
    <w:multiLevelType w:val="hybridMultilevel"/>
    <w:tmpl w:val="4844EC1E"/>
    <w:lvl w:ilvl="0" w:tplc="65E8D8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E1B6F"/>
    <w:multiLevelType w:val="hybridMultilevel"/>
    <w:tmpl w:val="2C588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D1D17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4416436">
    <w:abstractNumId w:val="30"/>
  </w:num>
  <w:num w:numId="2" w16cid:durableId="465245601">
    <w:abstractNumId w:val="29"/>
  </w:num>
  <w:num w:numId="3" w16cid:durableId="1885478694">
    <w:abstractNumId w:val="20"/>
  </w:num>
  <w:num w:numId="4" w16cid:durableId="66076260">
    <w:abstractNumId w:val="11"/>
  </w:num>
  <w:num w:numId="5" w16cid:durableId="379791358">
    <w:abstractNumId w:val="29"/>
    <w:lvlOverride w:ilvl="0">
      <w:startOverride w:val="2"/>
    </w:lvlOverride>
  </w:num>
  <w:num w:numId="6" w16cid:durableId="1246110184">
    <w:abstractNumId w:val="25"/>
  </w:num>
  <w:num w:numId="7" w16cid:durableId="2139565319">
    <w:abstractNumId w:val="16"/>
  </w:num>
  <w:num w:numId="8" w16cid:durableId="1302687005">
    <w:abstractNumId w:val="9"/>
  </w:num>
  <w:num w:numId="9" w16cid:durableId="727722497">
    <w:abstractNumId w:val="7"/>
  </w:num>
  <w:num w:numId="10" w16cid:durableId="739520271">
    <w:abstractNumId w:val="6"/>
  </w:num>
  <w:num w:numId="11" w16cid:durableId="259024612">
    <w:abstractNumId w:val="5"/>
  </w:num>
  <w:num w:numId="12" w16cid:durableId="421882011">
    <w:abstractNumId w:val="4"/>
  </w:num>
  <w:num w:numId="13" w16cid:durableId="637540624">
    <w:abstractNumId w:val="8"/>
  </w:num>
  <w:num w:numId="14" w16cid:durableId="324751075">
    <w:abstractNumId w:val="3"/>
  </w:num>
  <w:num w:numId="15" w16cid:durableId="616451610">
    <w:abstractNumId w:val="2"/>
  </w:num>
  <w:num w:numId="16" w16cid:durableId="442118059">
    <w:abstractNumId w:val="1"/>
  </w:num>
  <w:num w:numId="17" w16cid:durableId="449470765">
    <w:abstractNumId w:val="0"/>
  </w:num>
  <w:num w:numId="18" w16cid:durableId="1459251768">
    <w:abstractNumId w:val="34"/>
  </w:num>
  <w:num w:numId="19" w16cid:durableId="1006907006">
    <w:abstractNumId w:val="31"/>
  </w:num>
  <w:num w:numId="20" w16cid:durableId="995768420">
    <w:abstractNumId w:val="39"/>
  </w:num>
  <w:num w:numId="21" w16cid:durableId="1414470296">
    <w:abstractNumId w:val="32"/>
  </w:num>
  <w:num w:numId="22" w16cid:durableId="1436441808">
    <w:abstractNumId w:val="32"/>
  </w:num>
  <w:num w:numId="23" w16cid:durableId="853347405">
    <w:abstractNumId w:val="27"/>
  </w:num>
  <w:num w:numId="24" w16cid:durableId="2140608233">
    <w:abstractNumId w:val="41"/>
  </w:num>
  <w:num w:numId="25" w16cid:durableId="588659717">
    <w:abstractNumId w:val="40"/>
  </w:num>
  <w:num w:numId="26" w16cid:durableId="1566336535">
    <w:abstractNumId w:val="12"/>
  </w:num>
  <w:num w:numId="27" w16cid:durableId="26371737">
    <w:abstractNumId w:val="10"/>
  </w:num>
  <w:num w:numId="28" w16cid:durableId="864101788">
    <w:abstractNumId w:val="24"/>
  </w:num>
  <w:num w:numId="29" w16cid:durableId="1652320415">
    <w:abstractNumId w:val="35"/>
  </w:num>
  <w:num w:numId="30" w16cid:durableId="432093610">
    <w:abstractNumId w:val="33"/>
  </w:num>
  <w:num w:numId="31" w16cid:durableId="1110473252">
    <w:abstractNumId w:val="18"/>
  </w:num>
  <w:num w:numId="32" w16cid:durableId="841050807">
    <w:abstractNumId w:val="23"/>
  </w:num>
  <w:num w:numId="33" w16cid:durableId="181017079">
    <w:abstractNumId w:val="22"/>
  </w:num>
  <w:num w:numId="34" w16cid:durableId="2004120448">
    <w:abstractNumId w:val="21"/>
  </w:num>
  <w:num w:numId="35" w16cid:durableId="1141114474">
    <w:abstractNumId w:val="28"/>
  </w:num>
  <w:num w:numId="36" w16cid:durableId="1346178170">
    <w:abstractNumId w:val="17"/>
  </w:num>
  <w:num w:numId="37" w16cid:durableId="1039162693">
    <w:abstractNumId w:val="19"/>
  </w:num>
  <w:num w:numId="38" w16cid:durableId="181630105">
    <w:abstractNumId w:val="38"/>
  </w:num>
  <w:num w:numId="39" w16cid:durableId="468670084">
    <w:abstractNumId w:val="15"/>
  </w:num>
  <w:num w:numId="40" w16cid:durableId="805044947">
    <w:abstractNumId w:val="42"/>
  </w:num>
  <w:num w:numId="41" w16cid:durableId="1369643495">
    <w:abstractNumId w:val="14"/>
  </w:num>
  <w:num w:numId="42" w16cid:durableId="857694184">
    <w:abstractNumId w:val="13"/>
  </w:num>
  <w:num w:numId="43" w16cid:durableId="386270614">
    <w:abstractNumId w:val="26"/>
  </w:num>
  <w:num w:numId="44" w16cid:durableId="472602435">
    <w:abstractNumId w:val="22"/>
    <w:lvlOverride w:ilvl="0">
      <w:startOverride w:val="1"/>
    </w:lvlOverride>
  </w:num>
  <w:num w:numId="45" w16cid:durableId="1091394448">
    <w:abstractNumId w:val="36"/>
  </w:num>
  <w:num w:numId="46" w16cid:durableId="6346809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7E9B"/>
    <w:rsid w:val="00012261"/>
    <w:rsid w:val="00012664"/>
    <w:rsid w:val="000227A1"/>
    <w:rsid w:val="00025D8C"/>
    <w:rsid w:val="0002675B"/>
    <w:rsid w:val="0002726D"/>
    <w:rsid w:val="000318A8"/>
    <w:rsid w:val="000355C3"/>
    <w:rsid w:val="00037A14"/>
    <w:rsid w:val="00040D90"/>
    <w:rsid w:val="000431C3"/>
    <w:rsid w:val="000441B9"/>
    <w:rsid w:val="00044EED"/>
    <w:rsid w:val="0005426A"/>
    <w:rsid w:val="000543B7"/>
    <w:rsid w:val="00054D5E"/>
    <w:rsid w:val="0005693A"/>
    <w:rsid w:val="000637FF"/>
    <w:rsid w:val="00064C8E"/>
    <w:rsid w:val="00064FD3"/>
    <w:rsid w:val="0007063F"/>
    <w:rsid w:val="000709BF"/>
    <w:rsid w:val="00072125"/>
    <w:rsid w:val="0007565F"/>
    <w:rsid w:val="0007762B"/>
    <w:rsid w:val="00077699"/>
    <w:rsid w:val="0008773B"/>
    <w:rsid w:val="00090A61"/>
    <w:rsid w:val="00090D63"/>
    <w:rsid w:val="00091809"/>
    <w:rsid w:val="00091CEF"/>
    <w:rsid w:val="00095CA4"/>
    <w:rsid w:val="000964C4"/>
    <w:rsid w:val="000A1B06"/>
    <w:rsid w:val="000A3CE4"/>
    <w:rsid w:val="000A45EB"/>
    <w:rsid w:val="000A4C47"/>
    <w:rsid w:val="000B1D54"/>
    <w:rsid w:val="000B6059"/>
    <w:rsid w:val="000B66C4"/>
    <w:rsid w:val="000C09C3"/>
    <w:rsid w:val="000C5EC4"/>
    <w:rsid w:val="000C7BF4"/>
    <w:rsid w:val="000D3D40"/>
    <w:rsid w:val="000D440E"/>
    <w:rsid w:val="000E5CC1"/>
    <w:rsid w:val="000F08B3"/>
    <w:rsid w:val="000F1885"/>
    <w:rsid w:val="000F2612"/>
    <w:rsid w:val="000F765E"/>
    <w:rsid w:val="000F7895"/>
    <w:rsid w:val="00101D5C"/>
    <w:rsid w:val="0010314D"/>
    <w:rsid w:val="0010484D"/>
    <w:rsid w:val="00105476"/>
    <w:rsid w:val="0010603F"/>
    <w:rsid w:val="00110307"/>
    <w:rsid w:val="001105D8"/>
    <w:rsid w:val="00111DC6"/>
    <w:rsid w:val="00112D04"/>
    <w:rsid w:val="00113B47"/>
    <w:rsid w:val="00116711"/>
    <w:rsid w:val="001167A2"/>
    <w:rsid w:val="001176BE"/>
    <w:rsid w:val="001179EC"/>
    <w:rsid w:val="00125821"/>
    <w:rsid w:val="00140D61"/>
    <w:rsid w:val="00145C4B"/>
    <w:rsid w:val="00147AAB"/>
    <w:rsid w:val="00150F3C"/>
    <w:rsid w:val="00153D30"/>
    <w:rsid w:val="00162159"/>
    <w:rsid w:val="00163C40"/>
    <w:rsid w:val="00165309"/>
    <w:rsid w:val="00166494"/>
    <w:rsid w:val="00170457"/>
    <w:rsid w:val="00181B4B"/>
    <w:rsid w:val="00182C4E"/>
    <w:rsid w:val="0018383B"/>
    <w:rsid w:val="00186773"/>
    <w:rsid w:val="00192745"/>
    <w:rsid w:val="0019349B"/>
    <w:rsid w:val="001940B5"/>
    <w:rsid w:val="0019454E"/>
    <w:rsid w:val="001A1239"/>
    <w:rsid w:val="001A27C5"/>
    <w:rsid w:val="001A4E59"/>
    <w:rsid w:val="001B0A1E"/>
    <w:rsid w:val="001B489B"/>
    <w:rsid w:val="001B4D38"/>
    <w:rsid w:val="001B5284"/>
    <w:rsid w:val="001B6021"/>
    <w:rsid w:val="001B7EB7"/>
    <w:rsid w:val="001C197E"/>
    <w:rsid w:val="001C19B6"/>
    <w:rsid w:val="001C2DF4"/>
    <w:rsid w:val="001C323E"/>
    <w:rsid w:val="001C66DF"/>
    <w:rsid w:val="001D1E2A"/>
    <w:rsid w:val="001D20F6"/>
    <w:rsid w:val="001D3ABB"/>
    <w:rsid w:val="001D6AB5"/>
    <w:rsid w:val="001D6C7E"/>
    <w:rsid w:val="001D7818"/>
    <w:rsid w:val="001E0F30"/>
    <w:rsid w:val="001E57C0"/>
    <w:rsid w:val="001F2D6F"/>
    <w:rsid w:val="001F589D"/>
    <w:rsid w:val="001F6DC2"/>
    <w:rsid w:val="00200C3D"/>
    <w:rsid w:val="00200EE8"/>
    <w:rsid w:val="00200EFB"/>
    <w:rsid w:val="002018DD"/>
    <w:rsid w:val="00203A21"/>
    <w:rsid w:val="00210131"/>
    <w:rsid w:val="002117FF"/>
    <w:rsid w:val="0021276B"/>
    <w:rsid w:val="00215598"/>
    <w:rsid w:val="00216179"/>
    <w:rsid w:val="002233FF"/>
    <w:rsid w:val="002250CE"/>
    <w:rsid w:val="002327C0"/>
    <w:rsid w:val="00232BDF"/>
    <w:rsid w:val="002336A0"/>
    <w:rsid w:val="002406F8"/>
    <w:rsid w:val="002444B9"/>
    <w:rsid w:val="002454FA"/>
    <w:rsid w:val="00246F82"/>
    <w:rsid w:val="00252D53"/>
    <w:rsid w:val="002549A1"/>
    <w:rsid w:val="0025603D"/>
    <w:rsid w:val="00256632"/>
    <w:rsid w:val="0026467E"/>
    <w:rsid w:val="002649BD"/>
    <w:rsid w:val="002662C5"/>
    <w:rsid w:val="00271CBC"/>
    <w:rsid w:val="00274F1A"/>
    <w:rsid w:val="00275038"/>
    <w:rsid w:val="00275740"/>
    <w:rsid w:val="00276354"/>
    <w:rsid w:val="00276D04"/>
    <w:rsid w:val="0028034B"/>
    <w:rsid w:val="00281035"/>
    <w:rsid w:val="0028283E"/>
    <w:rsid w:val="00282FCE"/>
    <w:rsid w:val="0028371A"/>
    <w:rsid w:val="00287576"/>
    <w:rsid w:val="00290611"/>
    <w:rsid w:val="00291C4D"/>
    <w:rsid w:val="00292178"/>
    <w:rsid w:val="00293014"/>
    <w:rsid w:val="00295FD1"/>
    <w:rsid w:val="002A3815"/>
    <w:rsid w:val="002A618B"/>
    <w:rsid w:val="002B36B5"/>
    <w:rsid w:val="002B36BA"/>
    <w:rsid w:val="002B41B7"/>
    <w:rsid w:val="002B74EE"/>
    <w:rsid w:val="002C0301"/>
    <w:rsid w:val="002C47E0"/>
    <w:rsid w:val="002C4A08"/>
    <w:rsid w:val="002D49A1"/>
    <w:rsid w:val="002D7198"/>
    <w:rsid w:val="002D7F78"/>
    <w:rsid w:val="002E44CD"/>
    <w:rsid w:val="002E5311"/>
    <w:rsid w:val="002F0461"/>
    <w:rsid w:val="00301622"/>
    <w:rsid w:val="003019B6"/>
    <w:rsid w:val="003034F2"/>
    <w:rsid w:val="00303B71"/>
    <w:rsid w:val="00307B59"/>
    <w:rsid w:val="0031322D"/>
    <w:rsid w:val="00313905"/>
    <w:rsid w:val="0031482B"/>
    <w:rsid w:val="00316CFB"/>
    <w:rsid w:val="00321250"/>
    <w:rsid w:val="003245AA"/>
    <w:rsid w:val="003260A5"/>
    <w:rsid w:val="00327117"/>
    <w:rsid w:val="003272D4"/>
    <w:rsid w:val="00332693"/>
    <w:rsid w:val="00332760"/>
    <w:rsid w:val="00334EAD"/>
    <w:rsid w:val="00335B11"/>
    <w:rsid w:val="00337286"/>
    <w:rsid w:val="0034072D"/>
    <w:rsid w:val="00342CD9"/>
    <w:rsid w:val="00343CBA"/>
    <w:rsid w:val="00344442"/>
    <w:rsid w:val="00346BD1"/>
    <w:rsid w:val="003471D3"/>
    <w:rsid w:val="00352373"/>
    <w:rsid w:val="00356242"/>
    <w:rsid w:val="00361A0D"/>
    <w:rsid w:val="00363056"/>
    <w:rsid w:val="00363935"/>
    <w:rsid w:val="00363E60"/>
    <w:rsid w:val="00371478"/>
    <w:rsid w:val="00373CB8"/>
    <w:rsid w:val="00373D9A"/>
    <w:rsid w:val="00375C57"/>
    <w:rsid w:val="003775D7"/>
    <w:rsid w:val="00380885"/>
    <w:rsid w:val="00381CDC"/>
    <w:rsid w:val="003825F7"/>
    <w:rsid w:val="00382DFE"/>
    <w:rsid w:val="003849D4"/>
    <w:rsid w:val="00384A48"/>
    <w:rsid w:val="00385C93"/>
    <w:rsid w:val="00387D6E"/>
    <w:rsid w:val="00390911"/>
    <w:rsid w:val="00395CD8"/>
    <w:rsid w:val="00396353"/>
    <w:rsid w:val="003972AA"/>
    <w:rsid w:val="003A1715"/>
    <w:rsid w:val="003A2927"/>
    <w:rsid w:val="003A60E4"/>
    <w:rsid w:val="003A6B7E"/>
    <w:rsid w:val="003B225C"/>
    <w:rsid w:val="003B3451"/>
    <w:rsid w:val="003C026F"/>
    <w:rsid w:val="003C055E"/>
    <w:rsid w:val="003C183F"/>
    <w:rsid w:val="003C2D8F"/>
    <w:rsid w:val="003C3186"/>
    <w:rsid w:val="003D3F02"/>
    <w:rsid w:val="003D54D0"/>
    <w:rsid w:val="003D6B89"/>
    <w:rsid w:val="003D7140"/>
    <w:rsid w:val="003D771B"/>
    <w:rsid w:val="003E0FB7"/>
    <w:rsid w:val="003E2810"/>
    <w:rsid w:val="003E42AD"/>
    <w:rsid w:val="003E606C"/>
    <w:rsid w:val="003E65E4"/>
    <w:rsid w:val="003E67F4"/>
    <w:rsid w:val="003E70DB"/>
    <w:rsid w:val="003F24EB"/>
    <w:rsid w:val="003F61A4"/>
    <w:rsid w:val="003F631F"/>
    <w:rsid w:val="003F79F1"/>
    <w:rsid w:val="00400C63"/>
    <w:rsid w:val="00401F6F"/>
    <w:rsid w:val="00403A70"/>
    <w:rsid w:val="00407111"/>
    <w:rsid w:val="004071AF"/>
    <w:rsid w:val="00413366"/>
    <w:rsid w:val="004167E7"/>
    <w:rsid w:val="00421CA7"/>
    <w:rsid w:val="00423674"/>
    <w:rsid w:val="00424F9A"/>
    <w:rsid w:val="00427B37"/>
    <w:rsid w:val="00432541"/>
    <w:rsid w:val="00437C4B"/>
    <w:rsid w:val="00441C31"/>
    <w:rsid w:val="00442BBC"/>
    <w:rsid w:val="00442C8A"/>
    <w:rsid w:val="0044402D"/>
    <w:rsid w:val="0044507E"/>
    <w:rsid w:val="00450F30"/>
    <w:rsid w:val="00457874"/>
    <w:rsid w:val="00460F13"/>
    <w:rsid w:val="004634FA"/>
    <w:rsid w:val="00464A8C"/>
    <w:rsid w:val="004662B7"/>
    <w:rsid w:val="00466604"/>
    <w:rsid w:val="00467D4A"/>
    <w:rsid w:val="00467DBC"/>
    <w:rsid w:val="004723CA"/>
    <w:rsid w:val="0047692E"/>
    <w:rsid w:val="00477A04"/>
    <w:rsid w:val="004800FA"/>
    <w:rsid w:val="004804F7"/>
    <w:rsid w:val="004808EB"/>
    <w:rsid w:val="00481C84"/>
    <w:rsid w:val="004874FE"/>
    <w:rsid w:val="0048778B"/>
    <w:rsid w:val="00490BB0"/>
    <w:rsid w:val="00496E2E"/>
    <w:rsid w:val="004A2890"/>
    <w:rsid w:val="004A2D91"/>
    <w:rsid w:val="004A32F0"/>
    <w:rsid w:val="004A5F2D"/>
    <w:rsid w:val="004B03CD"/>
    <w:rsid w:val="004B0D2A"/>
    <w:rsid w:val="004B204F"/>
    <w:rsid w:val="004B2F65"/>
    <w:rsid w:val="004B328F"/>
    <w:rsid w:val="004B4403"/>
    <w:rsid w:val="004D3BB8"/>
    <w:rsid w:val="004E0EA4"/>
    <w:rsid w:val="004E0F92"/>
    <w:rsid w:val="004E6E05"/>
    <w:rsid w:val="004E7571"/>
    <w:rsid w:val="004F0F1A"/>
    <w:rsid w:val="004F10BC"/>
    <w:rsid w:val="004F5D28"/>
    <w:rsid w:val="004F6294"/>
    <w:rsid w:val="00501AE3"/>
    <w:rsid w:val="00502E66"/>
    <w:rsid w:val="005065D4"/>
    <w:rsid w:val="00510295"/>
    <w:rsid w:val="005133B9"/>
    <w:rsid w:val="00515A5A"/>
    <w:rsid w:val="0051620F"/>
    <w:rsid w:val="00520BDA"/>
    <w:rsid w:val="00522EF9"/>
    <w:rsid w:val="005239F8"/>
    <w:rsid w:val="00524239"/>
    <w:rsid w:val="00526D98"/>
    <w:rsid w:val="005271F7"/>
    <w:rsid w:val="005403CC"/>
    <w:rsid w:val="00546136"/>
    <w:rsid w:val="0054618B"/>
    <w:rsid w:val="0054664B"/>
    <w:rsid w:val="005472DC"/>
    <w:rsid w:val="005479C1"/>
    <w:rsid w:val="00550FBD"/>
    <w:rsid w:val="005516AC"/>
    <w:rsid w:val="005548E7"/>
    <w:rsid w:val="00554E7F"/>
    <w:rsid w:val="005632BA"/>
    <w:rsid w:val="0056407C"/>
    <w:rsid w:val="00571ECB"/>
    <w:rsid w:val="00572038"/>
    <w:rsid w:val="00572418"/>
    <w:rsid w:val="00575156"/>
    <w:rsid w:val="00577A1B"/>
    <w:rsid w:val="005802DA"/>
    <w:rsid w:val="005833EF"/>
    <w:rsid w:val="00584545"/>
    <w:rsid w:val="00585CF1"/>
    <w:rsid w:val="00590BED"/>
    <w:rsid w:val="005937C8"/>
    <w:rsid w:val="005957B9"/>
    <w:rsid w:val="00596ABE"/>
    <w:rsid w:val="005A436B"/>
    <w:rsid w:val="005A502C"/>
    <w:rsid w:val="005A7495"/>
    <w:rsid w:val="005A7F9B"/>
    <w:rsid w:val="005B6507"/>
    <w:rsid w:val="005B7726"/>
    <w:rsid w:val="005C02D2"/>
    <w:rsid w:val="005C2981"/>
    <w:rsid w:val="005C5238"/>
    <w:rsid w:val="005D58D4"/>
    <w:rsid w:val="005D619E"/>
    <w:rsid w:val="005D668B"/>
    <w:rsid w:val="005D759B"/>
    <w:rsid w:val="005E454E"/>
    <w:rsid w:val="005E5122"/>
    <w:rsid w:val="005F07F9"/>
    <w:rsid w:val="005F1C11"/>
    <w:rsid w:val="005F4262"/>
    <w:rsid w:val="005F451D"/>
    <w:rsid w:val="00601DF7"/>
    <w:rsid w:val="006031AC"/>
    <w:rsid w:val="00603857"/>
    <w:rsid w:val="00605AD3"/>
    <w:rsid w:val="0060654F"/>
    <w:rsid w:val="00610FE6"/>
    <w:rsid w:val="00613760"/>
    <w:rsid w:val="00614E47"/>
    <w:rsid w:val="006162B2"/>
    <w:rsid w:val="0062198D"/>
    <w:rsid w:val="0062236F"/>
    <w:rsid w:val="00626AC2"/>
    <w:rsid w:val="0063348C"/>
    <w:rsid w:val="006346A7"/>
    <w:rsid w:val="006355C1"/>
    <w:rsid w:val="00635F98"/>
    <w:rsid w:val="006366CA"/>
    <w:rsid w:val="00636AE5"/>
    <w:rsid w:val="00641E2E"/>
    <w:rsid w:val="006437AB"/>
    <w:rsid w:val="00645336"/>
    <w:rsid w:val="00646604"/>
    <w:rsid w:val="00650BF9"/>
    <w:rsid w:val="0065229F"/>
    <w:rsid w:val="006525C2"/>
    <w:rsid w:val="00652E7C"/>
    <w:rsid w:val="006532A6"/>
    <w:rsid w:val="00653574"/>
    <w:rsid w:val="00654FDB"/>
    <w:rsid w:val="00657338"/>
    <w:rsid w:val="00657DBF"/>
    <w:rsid w:val="00662B91"/>
    <w:rsid w:val="006650E3"/>
    <w:rsid w:val="0067206C"/>
    <w:rsid w:val="006758AB"/>
    <w:rsid w:val="00675A72"/>
    <w:rsid w:val="00676BEB"/>
    <w:rsid w:val="00676FC8"/>
    <w:rsid w:val="006774ED"/>
    <w:rsid w:val="00683B33"/>
    <w:rsid w:val="006840BF"/>
    <w:rsid w:val="0068603C"/>
    <w:rsid w:val="0069123C"/>
    <w:rsid w:val="0069385B"/>
    <w:rsid w:val="00694F0B"/>
    <w:rsid w:val="00696C70"/>
    <w:rsid w:val="006978DE"/>
    <w:rsid w:val="006A0A23"/>
    <w:rsid w:val="006A371A"/>
    <w:rsid w:val="006A746F"/>
    <w:rsid w:val="006B0BC5"/>
    <w:rsid w:val="006C0321"/>
    <w:rsid w:val="006C3102"/>
    <w:rsid w:val="006C6135"/>
    <w:rsid w:val="006D3E26"/>
    <w:rsid w:val="006D77B5"/>
    <w:rsid w:val="006E07FA"/>
    <w:rsid w:val="006F2A24"/>
    <w:rsid w:val="006F32B8"/>
    <w:rsid w:val="006F5AB3"/>
    <w:rsid w:val="006F6F73"/>
    <w:rsid w:val="006F70E5"/>
    <w:rsid w:val="00701141"/>
    <w:rsid w:val="00706B0C"/>
    <w:rsid w:val="00706D7E"/>
    <w:rsid w:val="007076E3"/>
    <w:rsid w:val="00707FDD"/>
    <w:rsid w:val="007112D6"/>
    <w:rsid w:val="00713010"/>
    <w:rsid w:val="00713625"/>
    <w:rsid w:val="00714A35"/>
    <w:rsid w:val="00720707"/>
    <w:rsid w:val="00723028"/>
    <w:rsid w:val="00723F23"/>
    <w:rsid w:val="00725347"/>
    <w:rsid w:val="00725B86"/>
    <w:rsid w:val="00725E92"/>
    <w:rsid w:val="00725EFF"/>
    <w:rsid w:val="00727A6A"/>
    <w:rsid w:val="00730000"/>
    <w:rsid w:val="00730276"/>
    <w:rsid w:val="00733B25"/>
    <w:rsid w:val="0073471F"/>
    <w:rsid w:val="007358E3"/>
    <w:rsid w:val="00736DF5"/>
    <w:rsid w:val="007373E4"/>
    <w:rsid w:val="00742399"/>
    <w:rsid w:val="007435AF"/>
    <w:rsid w:val="00743C8C"/>
    <w:rsid w:val="0075451A"/>
    <w:rsid w:val="00755C7E"/>
    <w:rsid w:val="00757A20"/>
    <w:rsid w:val="00757B9F"/>
    <w:rsid w:val="007611D9"/>
    <w:rsid w:val="00762128"/>
    <w:rsid w:val="00763F5C"/>
    <w:rsid w:val="00765F84"/>
    <w:rsid w:val="007667DD"/>
    <w:rsid w:val="00766A08"/>
    <w:rsid w:val="007705C4"/>
    <w:rsid w:val="0077270D"/>
    <w:rsid w:val="00772779"/>
    <w:rsid w:val="00773C1A"/>
    <w:rsid w:val="00776D24"/>
    <w:rsid w:val="00781254"/>
    <w:rsid w:val="00784400"/>
    <w:rsid w:val="007867F9"/>
    <w:rsid w:val="00790C56"/>
    <w:rsid w:val="0079213E"/>
    <w:rsid w:val="00796179"/>
    <w:rsid w:val="007A0226"/>
    <w:rsid w:val="007A4842"/>
    <w:rsid w:val="007A5E1E"/>
    <w:rsid w:val="007A6024"/>
    <w:rsid w:val="007A78EC"/>
    <w:rsid w:val="007A7D10"/>
    <w:rsid w:val="007B1A42"/>
    <w:rsid w:val="007B5FAB"/>
    <w:rsid w:val="007B651B"/>
    <w:rsid w:val="007B7807"/>
    <w:rsid w:val="007C0DC0"/>
    <w:rsid w:val="007C147F"/>
    <w:rsid w:val="007C1813"/>
    <w:rsid w:val="007C2789"/>
    <w:rsid w:val="007C4328"/>
    <w:rsid w:val="007C64B1"/>
    <w:rsid w:val="007D3AFD"/>
    <w:rsid w:val="007D50E0"/>
    <w:rsid w:val="007E1DEA"/>
    <w:rsid w:val="007E2824"/>
    <w:rsid w:val="007F077F"/>
    <w:rsid w:val="007F2D87"/>
    <w:rsid w:val="007F70C2"/>
    <w:rsid w:val="007F7BB7"/>
    <w:rsid w:val="00800157"/>
    <w:rsid w:val="00800983"/>
    <w:rsid w:val="00805114"/>
    <w:rsid w:val="008069D1"/>
    <w:rsid w:val="00806C90"/>
    <w:rsid w:val="008071F9"/>
    <w:rsid w:val="0081005F"/>
    <w:rsid w:val="00813523"/>
    <w:rsid w:val="00814E92"/>
    <w:rsid w:val="00822B92"/>
    <w:rsid w:val="008230DC"/>
    <w:rsid w:val="00825E31"/>
    <w:rsid w:val="00831F6C"/>
    <w:rsid w:val="008342DB"/>
    <w:rsid w:val="00835C2C"/>
    <w:rsid w:val="00836F07"/>
    <w:rsid w:val="0083767B"/>
    <w:rsid w:val="00840F44"/>
    <w:rsid w:val="00841987"/>
    <w:rsid w:val="00841C9D"/>
    <w:rsid w:val="008432D1"/>
    <w:rsid w:val="0084455B"/>
    <w:rsid w:val="008445BC"/>
    <w:rsid w:val="00844650"/>
    <w:rsid w:val="00845060"/>
    <w:rsid w:val="008457DF"/>
    <w:rsid w:val="00851089"/>
    <w:rsid w:val="00853A62"/>
    <w:rsid w:val="00854D32"/>
    <w:rsid w:val="00857888"/>
    <w:rsid w:val="00861A28"/>
    <w:rsid w:val="00862A69"/>
    <w:rsid w:val="0086568B"/>
    <w:rsid w:val="00870502"/>
    <w:rsid w:val="0087107E"/>
    <w:rsid w:val="00872D4C"/>
    <w:rsid w:val="00873C13"/>
    <w:rsid w:val="00877099"/>
    <w:rsid w:val="00880229"/>
    <w:rsid w:val="00881418"/>
    <w:rsid w:val="00885B52"/>
    <w:rsid w:val="00885C22"/>
    <w:rsid w:val="00891536"/>
    <w:rsid w:val="00891C12"/>
    <w:rsid w:val="008A0296"/>
    <w:rsid w:val="008A2153"/>
    <w:rsid w:val="008A3B63"/>
    <w:rsid w:val="008A51A3"/>
    <w:rsid w:val="008A6AD0"/>
    <w:rsid w:val="008A7282"/>
    <w:rsid w:val="008B2659"/>
    <w:rsid w:val="008B38F6"/>
    <w:rsid w:val="008B3961"/>
    <w:rsid w:val="008C2782"/>
    <w:rsid w:val="008C320B"/>
    <w:rsid w:val="008C7368"/>
    <w:rsid w:val="008D0651"/>
    <w:rsid w:val="008D1F17"/>
    <w:rsid w:val="008D45D8"/>
    <w:rsid w:val="008D71CD"/>
    <w:rsid w:val="008E1A3D"/>
    <w:rsid w:val="008E2859"/>
    <w:rsid w:val="008E4396"/>
    <w:rsid w:val="008E73D4"/>
    <w:rsid w:val="008E7B01"/>
    <w:rsid w:val="008F58EA"/>
    <w:rsid w:val="008F7B3D"/>
    <w:rsid w:val="0090405B"/>
    <w:rsid w:val="00904EF2"/>
    <w:rsid w:val="0090583D"/>
    <w:rsid w:val="00907372"/>
    <w:rsid w:val="00915C84"/>
    <w:rsid w:val="00917563"/>
    <w:rsid w:val="00921FA6"/>
    <w:rsid w:val="00923E53"/>
    <w:rsid w:val="0092605C"/>
    <w:rsid w:val="009328DD"/>
    <w:rsid w:val="00937E84"/>
    <w:rsid w:val="00940482"/>
    <w:rsid w:val="00941750"/>
    <w:rsid w:val="0094187B"/>
    <w:rsid w:val="0094574D"/>
    <w:rsid w:val="00947222"/>
    <w:rsid w:val="00950F99"/>
    <w:rsid w:val="00954036"/>
    <w:rsid w:val="0095461C"/>
    <w:rsid w:val="00961717"/>
    <w:rsid w:val="00961E78"/>
    <w:rsid w:val="00961FBF"/>
    <w:rsid w:val="0096272D"/>
    <w:rsid w:val="00964687"/>
    <w:rsid w:val="00972310"/>
    <w:rsid w:val="00972992"/>
    <w:rsid w:val="00973D95"/>
    <w:rsid w:val="00974811"/>
    <w:rsid w:val="0097653F"/>
    <w:rsid w:val="00977E73"/>
    <w:rsid w:val="00980900"/>
    <w:rsid w:val="009818B6"/>
    <w:rsid w:val="00982F78"/>
    <w:rsid w:val="009875B2"/>
    <w:rsid w:val="00987FC3"/>
    <w:rsid w:val="00990DBA"/>
    <w:rsid w:val="00994848"/>
    <w:rsid w:val="00997588"/>
    <w:rsid w:val="009A12B1"/>
    <w:rsid w:val="009A7A16"/>
    <w:rsid w:val="009A7DC1"/>
    <w:rsid w:val="009B08D5"/>
    <w:rsid w:val="009B0A15"/>
    <w:rsid w:val="009B2302"/>
    <w:rsid w:val="009B4270"/>
    <w:rsid w:val="009B6152"/>
    <w:rsid w:val="009B6512"/>
    <w:rsid w:val="009B7C7F"/>
    <w:rsid w:val="009C5777"/>
    <w:rsid w:val="009C609F"/>
    <w:rsid w:val="009D4E77"/>
    <w:rsid w:val="009E181B"/>
    <w:rsid w:val="009F0DFC"/>
    <w:rsid w:val="009F3445"/>
    <w:rsid w:val="009F5667"/>
    <w:rsid w:val="009F5DF3"/>
    <w:rsid w:val="00A001E9"/>
    <w:rsid w:val="00A00B9E"/>
    <w:rsid w:val="00A06C33"/>
    <w:rsid w:val="00A070A8"/>
    <w:rsid w:val="00A07C62"/>
    <w:rsid w:val="00A11B22"/>
    <w:rsid w:val="00A1391A"/>
    <w:rsid w:val="00A15433"/>
    <w:rsid w:val="00A1589A"/>
    <w:rsid w:val="00A17AEC"/>
    <w:rsid w:val="00A218A9"/>
    <w:rsid w:val="00A21B41"/>
    <w:rsid w:val="00A26487"/>
    <w:rsid w:val="00A27248"/>
    <w:rsid w:val="00A305C7"/>
    <w:rsid w:val="00A305CC"/>
    <w:rsid w:val="00A30DE5"/>
    <w:rsid w:val="00A32CDF"/>
    <w:rsid w:val="00A345EB"/>
    <w:rsid w:val="00A34891"/>
    <w:rsid w:val="00A36739"/>
    <w:rsid w:val="00A42400"/>
    <w:rsid w:val="00A431BD"/>
    <w:rsid w:val="00A44A66"/>
    <w:rsid w:val="00A50EEB"/>
    <w:rsid w:val="00A51976"/>
    <w:rsid w:val="00A52886"/>
    <w:rsid w:val="00A52D65"/>
    <w:rsid w:val="00A54C90"/>
    <w:rsid w:val="00A56FC6"/>
    <w:rsid w:val="00A57079"/>
    <w:rsid w:val="00A61E45"/>
    <w:rsid w:val="00A6266D"/>
    <w:rsid w:val="00A64D69"/>
    <w:rsid w:val="00A67AB8"/>
    <w:rsid w:val="00A75D96"/>
    <w:rsid w:val="00A75F4C"/>
    <w:rsid w:val="00A76005"/>
    <w:rsid w:val="00A778D0"/>
    <w:rsid w:val="00A77EA4"/>
    <w:rsid w:val="00A77F72"/>
    <w:rsid w:val="00A81580"/>
    <w:rsid w:val="00A83EF0"/>
    <w:rsid w:val="00A8471B"/>
    <w:rsid w:val="00A84A9C"/>
    <w:rsid w:val="00A84EE4"/>
    <w:rsid w:val="00A94654"/>
    <w:rsid w:val="00A9584B"/>
    <w:rsid w:val="00AB1738"/>
    <w:rsid w:val="00AB5EE5"/>
    <w:rsid w:val="00AC02F4"/>
    <w:rsid w:val="00AC1972"/>
    <w:rsid w:val="00AC2A83"/>
    <w:rsid w:val="00AC4098"/>
    <w:rsid w:val="00AC5FDD"/>
    <w:rsid w:val="00AC7241"/>
    <w:rsid w:val="00AD3050"/>
    <w:rsid w:val="00AD3F45"/>
    <w:rsid w:val="00AD629C"/>
    <w:rsid w:val="00AE030B"/>
    <w:rsid w:val="00AE621F"/>
    <w:rsid w:val="00AE69F4"/>
    <w:rsid w:val="00AE732E"/>
    <w:rsid w:val="00AE7C6A"/>
    <w:rsid w:val="00AF3542"/>
    <w:rsid w:val="00AF4EAD"/>
    <w:rsid w:val="00AF726E"/>
    <w:rsid w:val="00AF76E3"/>
    <w:rsid w:val="00AF776F"/>
    <w:rsid w:val="00AF7E71"/>
    <w:rsid w:val="00B0148A"/>
    <w:rsid w:val="00B01596"/>
    <w:rsid w:val="00B01E5F"/>
    <w:rsid w:val="00B02132"/>
    <w:rsid w:val="00B047B6"/>
    <w:rsid w:val="00B12FFF"/>
    <w:rsid w:val="00B16D23"/>
    <w:rsid w:val="00B171D4"/>
    <w:rsid w:val="00B20041"/>
    <w:rsid w:val="00B20667"/>
    <w:rsid w:val="00B25DD6"/>
    <w:rsid w:val="00B26AE9"/>
    <w:rsid w:val="00B34206"/>
    <w:rsid w:val="00B3525A"/>
    <w:rsid w:val="00B36DF4"/>
    <w:rsid w:val="00B36EE9"/>
    <w:rsid w:val="00B571F4"/>
    <w:rsid w:val="00B57B2A"/>
    <w:rsid w:val="00B654B7"/>
    <w:rsid w:val="00B677C4"/>
    <w:rsid w:val="00B72E04"/>
    <w:rsid w:val="00B74705"/>
    <w:rsid w:val="00B812AA"/>
    <w:rsid w:val="00B81832"/>
    <w:rsid w:val="00B820DA"/>
    <w:rsid w:val="00B84914"/>
    <w:rsid w:val="00B84EF4"/>
    <w:rsid w:val="00B9064A"/>
    <w:rsid w:val="00B91B41"/>
    <w:rsid w:val="00B9490C"/>
    <w:rsid w:val="00B96667"/>
    <w:rsid w:val="00BA0456"/>
    <w:rsid w:val="00BA38A3"/>
    <w:rsid w:val="00BA512C"/>
    <w:rsid w:val="00BA78BC"/>
    <w:rsid w:val="00BB1F22"/>
    <w:rsid w:val="00BB2FCF"/>
    <w:rsid w:val="00BC2130"/>
    <w:rsid w:val="00BD2645"/>
    <w:rsid w:val="00BD2802"/>
    <w:rsid w:val="00BD6CE8"/>
    <w:rsid w:val="00BD7DFD"/>
    <w:rsid w:val="00BE3319"/>
    <w:rsid w:val="00BF10F3"/>
    <w:rsid w:val="00BF3D5A"/>
    <w:rsid w:val="00BF44A2"/>
    <w:rsid w:val="00BF60FD"/>
    <w:rsid w:val="00BF7068"/>
    <w:rsid w:val="00C0121B"/>
    <w:rsid w:val="00C0326E"/>
    <w:rsid w:val="00C0370A"/>
    <w:rsid w:val="00C046C8"/>
    <w:rsid w:val="00C05A51"/>
    <w:rsid w:val="00C06DD3"/>
    <w:rsid w:val="00C07099"/>
    <w:rsid w:val="00C12C2B"/>
    <w:rsid w:val="00C12E7D"/>
    <w:rsid w:val="00C1443A"/>
    <w:rsid w:val="00C14850"/>
    <w:rsid w:val="00C17DDC"/>
    <w:rsid w:val="00C22133"/>
    <w:rsid w:val="00C22F8B"/>
    <w:rsid w:val="00C24541"/>
    <w:rsid w:val="00C3053B"/>
    <w:rsid w:val="00C3066E"/>
    <w:rsid w:val="00C31D8E"/>
    <w:rsid w:val="00C31F9C"/>
    <w:rsid w:val="00C353E4"/>
    <w:rsid w:val="00C378FB"/>
    <w:rsid w:val="00C37B7A"/>
    <w:rsid w:val="00C416F2"/>
    <w:rsid w:val="00C43981"/>
    <w:rsid w:val="00C4437D"/>
    <w:rsid w:val="00C44F21"/>
    <w:rsid w:val="00C450C3"/>
    <w:rsid w:val="00C45B91"/>
    <w:rsid w:val="00C505FF"/>
    <w:rsid w:val="00C5189F"/>
    <w:rsid w:val="00C55167"/>
    <w:rsid w:val="00C563EF"/>
    <w:rsid w:val="00C601F9"/>
    <w:rsid w:val="00C60771"/>
    <w:rsid w:val="00C61519"/>
    <w:rsid w:val="00C61768"/>
    <w:rsid w:val="00C61A50"/>
    <w:rsid w:val="00C65910"/>
    <w:rsid w:val="00C67F04"/>
    <w:rsid w:val="00C718BC"/>
    <w:rsid w:val="00C72495"/>
    <w:rsid w:val="00C73C56"/>
    <w:rsid w:val="00C77D5C"/>
    <w:rsid w:val="00C84AAE"/>
    <w:rsid w:val="00C8798F"/>
    <w:rsid w:val="00C91EB6"/>
    <w:rsid w:val="00C924F0"/>
    <w:rsid w:val="00C932A3"/>
    <w:rsid w:val="00C94544"/>
    <w:rsid w:val="00C962C5"/>
    <w:rsid w:val="00CA74B3"/>
    <w:rsid w:val="00CB07EA"/>
    <w:rsid w:val="00CB1B95"/>
    <w:rsid w:val="00CB5922"/>
    <w:rsid w:val="00CC3942"/>
    <w:rsid w:val="00CC43A6"/>
    <w:rsid w:val="00CC6E5D"/>
    <w:rsid w:val="00CD10BF"/>
    <w:rsid w:val="00CD52D3"/>
    <w:rsid w:val="00CE0CE1"/>
    <w:rsid w:val="00CE1428"/>
    <w:rsid w:val="00CE167E"/>
    <w:rsid w:val="00CE5A1C"/>
    <w:rsid w:val="00CF13E2"/>
    <w:rsid w:val="00CF3F6B"/>
    <w:rsid w:val="00CF5695"/>
    <w:rsid w:val="00CF611C"/>
    <w:rsid w:val="00CF75CE"/>
    <w:rsid w:val="00D01B83"/>
    <w:rsid w:val="00D02FFC"/>
    <w:rsid w:val="00D14296"/>
    <w:rsid w:val="00D1614D"/>
    <w:rsid w:val="00D174D9"/>
    <w:rsid w:val="00D20A6A"/>
    <w:rsid w:val="00D21C3E"/>
    <w:rsid w:val="00D234B1"/>
    <w:rsid w:val="00D2571F"/>
    <w:rsid w:val="00D271CE"/>
    <w:rsid w:val="00D302CD"/>
    <w:rsid w:val="00D3077C"/>
    <w:rsid w:val="00D32FD0"/>
    <w:rsid w:val="00D33AD6"/>
    <w:rsid w:val="00D33D12"/>
    <w:rsid w:val="00D34A04"/>
    <w:rsid w:val="00D359A0"/>
    <w:rsid w:val="00D41D3E"/>
    <w:rsid w:val="00D50ADD"/>
    <w:rsid w:val="00D5111B"/>
    <w:rsid w:val="00D530B4"/>
    <w:rsid w:val="00D60214"/>
    <w:rsid w:val="00D62F8A"/>
    <w:rsid w:val="00D66A5B"/>
    <w:rsid w:val="00D66F26"/>
    <w:rsid w:val="00D70166"/>
    <w:rsid w:val="00D71535"/>
    <w:rsid w:val="00D71A1A"/>
    <w:rsid w:val="00D77D0A"/>
    <w:rsid w:val="00D81A6F"/>
    <w:rsid w:val="00D81F83"/>
    <w:rsid w:val="00D82D6F"/>
    <w:rsid w:val="00D90054"/>
    <w:rsid w:val="00D9152D"/>
    <w:rsid w:val="00D91D3D"/>
    <w:rsid w:val="00D9573A"/>
    <w:rsid w:val="00D9798E"/>
    <w:rsid w:val="00DA1011"/>
    <w:rsid w:val="00DA4BB3"/>
    <w:rsid w:val="00DA5F77"/>
    <w:rsid w:val="00DA6CD8"/>
    <w:rsid w:val="00DB24F0"/>
    <w:rsid w:val="00DB2B22"/>
    <w:rsid w:val="00DB510D"/>
    <w:rsid w:val="00DB6B5C"/>
    <w:rsid w:val="00DB6E52"/>
    <w:rsid w:val="00DC1954"/>
    <w:rsid w:val="00DC3004"/>
    <w:rsid w:val="00DC64EC"/>
    <w:rsid w:val="00DC7CCD"/>
    <w:rsid w:val="00DD5285"/>
    <w:rsid w:val="00DD6FD3"/>
    <w:rsid w:val="00DE1881"/>
    <w:rsid w:val="00DE3367"/>
    <w:rsid w:val="00DE40D1"/>
    <w:rsid w:val="00DE46A5"/>
    <w:rsid w:val="00DF7390"/>
    <w:rsid w:val="00DF7EA2"/>
    <w:rsid w:val="00E0510D"/>
    <w:rsid w:val="00E05571"/>
    <w:rsid w:val="00E05F70"/>
    <w:rsid w:val="00E11229"/>
    <w:rsid w:val="00E135F0"/>
    <w:rsid w:val="00E15396"/>
    <w:rsid w:val="00E15B6B"/>
    <w:rsid w:val="00E160E0"/>
    <w:rsid w:val="00E17C67"/>
    <w:rsid w:val="00E20635"/>
    <w:rsid w:val="00E2273D"/>
    <w:rsid w:val="00E235AA"/>
    <w:rsid w:val="00E30210"/>
    <w:rsid w:val="00E32C7C"/>
    <w:rsid w:val="00E331A7"/>
    <w:rsid w:val="00E347D9"/>
    <w:rsid w:val="00E37567"/>
    <w:rsid w:val="00E40CCC"/>
    <w:rsid w:val="00E4588C"/>
    <w:rsid w:val="00E45EB3"/>
    <w:rsid w:val="00E47850"/>
    <w:rsid w:val="00E47D2B"/>
    <w:rsid w:val="00E52974"/>
    <w:rsid w:val="00E5491A"/>
    <w:rsid w:val="00E55947"/>
    <w:rsid w:val="00E60C45"/>
    <w:rsid w:val="00E613E9"/>
    <w:rsid w:val="00E61773"/>
    <w:rsid w:val="00E61B15"/>
    <w:rsid w:val="00E63647"/>
    <w:rsid w:val="00E715E3"/>
    <w:rsid w:val="00E716EF"/>
    <w:rsid w:val="00E71C1C"/>
    <w:rsid w:val="00E7509A"/>
    <w:rsid w:val="00E77BAA"/>
    <w:rsid w:val="00E86125"/>
    <w:rsid w:val="00E90DCA"/>
    <w:rsid w:val="00E91148"/>
    <w:rsid w:val="00E93C03"/>
    <w:rsid w:val="00EA0301"/>
    <w:rsid w:val="00EA0DFF"/>
    <w:rsid w:val="00EA2558"/>
    <w:rsid w:val="00EA3B6B"/>
    <w:rsid w:val="00EA3FDC"/>
    <w:rsid w:val="00EA44BF"/>
    <w:rsid w:val="00EA4C99"/>
    <w:rsid w:val="00EA59AB"/>
    <w:rsid w:val="00EA61C0"/>
    <w:rsid w:val="00EB036E"/>
    <w:rsid w:val="00EB0443"/>
    <w:rsid w:val="00EB5019"/>
    <w:rsid w:val="00EB6E97"/>
    <w:rsid w:val="00EC0B8E"/>
    <w:rsid w:val="00EC152D"/>
    <w:rsid w:val="00EC3E45"/>
    <w:rsid w:val="00EC6AA5"/>
    <w:rsid w:val="00ED00D1"/>
    <w:rsid w:val="00ED19EB"/>
    <w:rsid w:val="00ED413A"/>
    <w:rsid w:val="00ED4ABA"/>
    <w:rsid w:val="00ED609E"/>
    <w:rsid w:val="00EE4628"/>
    <w:rsid w:val="00EE4713"/>
    <w:rsid w:val="00EE78E2"/>
    <w:rsid w:val="00EF07DA"/>
    <w:rsid w:val="00EF07E8"/>
    <w:rsid w:val="00EF1342"/>
    <w:rsid w:val="00EF3594"/>
    <w:rsid w:val="00EF3A6D"/>
    <w:rsid w:val="00EF68BB"/>
    <w:rsid w:val="00EF6EE9"/>
    <w:rsid w:val="00EF76A8"/>
    <w:rsid w:val="00F05BEA"/>
    <w:rsid w:val="00F11C66"/>
    <w:rsid w:val="00F1358C"/>
    <w:rsid w:val="00F16E33"/>
    <w:rsid w:val="00F17EE6"/>
    <w:rsid w:val="00F20388"/>
    <w:rsid w:val="00F215B8"/>
    <w:rsid w:val="00F21C31"/>
    <w:rsid w:val="00F22CDC"/>
    <w:rsid w:val="00F2401D"/>
    <w:rsid w:val="00F32AE0"/>
    <w:rsid w:val="00F338AF"/>
    <w:rsid w:val="00F33F60"/>
    <w:rsid w:val="00F346D5"/>
    <w:rsid w:val="00F34BEA"/>
    <w:rsid w:val="00F36BC4"/>
    <w:rsid w:val="00F41FE9"/>
    <w:rsid w:val="00F42562"/>
    <w:rsid w:val="00F45DE1"/>
    <w:rsid w:val="00F47056"/>
    <w:rsid w:val="00F47BB7"/>
    <w:rsid w:val="00F53DC3"/>
    <w:rsid w:val="00F54735"/>
    <w:rsid w:val="00F55418"/>
    <w:rsid w:val="00F567EB"/>
    <w:rsid w:val="00F60031"/>
    <w:rsid w:val="00F715FE"/>
    <w:rsid w:val="00F75200"/>
    <w:rsid w:val="00F76CF5"/>
    <w:rsid w:val="00F76FE3"/>
    <w:rsid w:val="00F77CA6"/>
    <w:rsid w:val="00F828FC"/>
    <w:rsid w:val="00F84979"/>
    <w:rsid w:val="00F871E2"/>
    <w:rsid w:val="00F9054C"/>
    <w:rsid w:val="00F90B39"/>
    <w:rsid w:val="00F91DF0"/>
    <w:rsid w:val="00F92642"/>
    <w:rsid w:val="00F944DE"/>
    <w:rsid w:val="00FA248D"/>
    <w:rsid w:val="00FA6B6C"/>
    <w:rsid w:val="00FA756C"/>
    <w:rsid w:val="00FA7E5C"/>
    <w:rsid w:val="00FA7F39"/>
    <w:rsid w:val="00FB215F"/>
    <w:rsid w:val="00FB2AFF"/>
    <w:rsid w:val="00FB66F1"/>
    <w:rsid w:val="00FB7C07"/>
    <w:rsid w:val="00FC1368"/>
    <w:rsid w:val="00FC60FB"/>
    <w:rsid w:val="00FD3BA3"/>
    <w:rsid w:val="00FD3F2B"/>
    <w:rsid w:val="00FD54A1"/>
    <w:rsid w:val="00FE5E69"/>
    <w:rsid w:val="00FE738F"/>
    <w:rsid w:val="00FF4C62"/>
    <w:rsid w:val="00FF72DC"/>
    <w:rsid w:val="02F68100"/>
    <w:rsid w:val="03C2E0ED"/>
    <w:rsid w:val="21F95E2D"/>
    <w:rsid w:val="443DF156"/>
    <w:rsid w:val="546ADF9D"/>
    <w:rsid w:val="613FB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054408C6"/>
  <w15:docId w15:val="{B37D3C3B-F6E5-4A25-A6F0-02914D4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891536"/>
    <w:pPr>
      <w:spacing w:before="0"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891536"/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91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91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36"/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36"/>
    <w:rPr>
      <w:rFonts w:ascii="Arial" w:hAnsi="Arial" w:cs="Arial"/>
      <w:sz w:val="20"/>
      <w:szCs w:val="20"/>
      <w:lang w:eastAsia="zh-CN"/>
    </w:rPr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rsid w:val="008915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aliases w:val="RSC Ed Heading 1 Char"/>
    <w:basedOn w:val="DefaultParagraphFont"/>
    <w:link w:val="Heading1"/>
    <w:rsid w:val="00891536"/>
    <w:rPr>
      <w:rFonts w:ascii="Arial" w:hAnsi="Arial" w:cs="Arial"/>
      <w:b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891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536"/>
    <w:pPr>
      <w:spacing w:before="0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Strong">
    <w:name w:val="Strong"/>
    <w:basedOn w:val="DefaultParagraphFont"/>
    <w:uiPriority w:val="22"/>
    <w:rsid w:val="0087709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891536"/>
  </w:style>
  <w:style w:type="numbering" w:customStyle="1" w:styleId="CurrentList1">
    <w:name w:val="Current List1"/>
    <w:uiPriority w:val="99"/>
    <w:rsid w:val="00891536"/>
    <w:pPr>
      <w:numPr>
        <w:numId w:val="21"/>
      </w:numPr>
    </w:pPr>
  </w:style>
  <w:style w:type="numbering" w:customStyle="1" w:styleId="CurrentList2">
    <w:name w:val="Current List2"/>
    <w:uiPriority w:val="99"/>
    <w:rsid w:val="00891536"/>
    <w:pPr>
      <w:numPr>
        <w:numId w:val="23"/>
      </w:numPr>
    </w:pPr>
  </w:style>
  <w:style w:type="numbering" w:customStyle="1" w:styleId="CurrentList3">
    <w:name w:val="Current List3"/>
    <w:uiPriority w:val="99"/>
    <w:rsid w:val="00891536"/>
    <w:pPr>
      <w:numPr>
        <w:numId w:val="24"/>
      </w:numPr>
    </w:pPr>
  </w:style>
  <w:style w:type="numbering" w:customStyle="1" w:styleId="CurrentList4">
    <w:name w:val="Current List4"/>
    <w:uiPriority w:val="99"/>
    <w:rsid w:val="00891536"/>
    <w:pPr>
      <w:numPr>
        <w:numId w:val="25"/>
      </w:numPr>
    </w:pPr>
  </w:style>
  <w:style w:type="numbering" w:customStyle="1" w:styleId="CurrentList5">
    <w:name w:val="Current List5"/>
    <w:uiPriority w:val="99"/>
    <w:rsid w:val="00891536"/>
    <w:pPr>
      <w:numPr>
        <w:numId w:val="26"/>
      </w:numPr>
    </w:pPr>
  </w:style>
  <w:style w:type="numbering" w:customStyle="1" w:styleId="CurrentList6">
    <w:name w:val="Current List6"/>
    <w:uiPriority w:val="99"/>
    <w:rsid w:val="00891536"/>
    <w:pPr>
      <w:numPr>
        <w:numId w:val="27"/>
      </w:numPr>
    </w:pPr>
  </w:style>
  <w:style w:type="numbering" w:customStyle="1" w:styleId="CurrentList7">
    <w:name w:val="Current List7"/>
    <w:uiPriority w:val="99"/>
    <w:rsid w:val="00891536"/>
    <w:pPr>
      <w:numPr>
        <w:numId w:val="28"/>
      </w:numPr>
    </w:pPr>
  </w:style>
  <w:style w:type="numbering" w:customStyle="1" w:styleId="CurrentList8">
    <w:name w:val="Current List8"/>
    <w:uiPriority w:val="99"/>
    <w:rsid w:val="00891536"/>
    <w:pPr>
      <w:numPr>
        <w:numId w:val="29"/>
      </w:numPr>
    </w:pPr>
  </w:style>
  <w:style w:type="numbering" w:customStyle="1" w:styleId="CurrentList9">
    <w:name w:val="Current List9"/>
    <w:uiPriority w:val="99"/>
    <w:rsid w:val="00891536"/>
    <w:pPr>
      <w:numPr>
        <w:numId w:val="30"/>
      </w:numPr>
    </w:pPr>
  </w:style>
  <w:style w:type="paragraph" w:customStyle="1" w:styleId="RSCBasictext">
    <w:name w:val="RSC Basic text"/>
    <w:basedOn w:val="Normal"/>
    <w:qFormat/>
    <w:rsid w:val="00891536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891536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5632BA"/>
    <w:pPr>
      <w:numPr>
        <w:numId w:val="31"/>
      </w:numPr>
    </w:pPr>
  </w:style>
  <w:style w:type="paragraph" w:customStyle="1" w:styleId="RSCEducationHeading2">
    <w:name w:val="RSC Education Heading2"/>
    <w:basedOn w:val="Heading1"/>
    <w:next w:val="Heading2"/>
    <w:qFormat/>
    <w:rsid w:val="00891536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891536"/>
    <w:rPr>
      <w:rFonts w:ascii="Arial" w:hAnsi="Arial"/>
      <w:color w:val="auto"/>
      <w:sz w:val="22"/>
    </w:rPr>
  </w:style>
  <w:style w:type="paragraph" w:customStyle="1" w:styleId="RSCH1">
    <w:name w:val="RSC H1"/>
    <w:basedOn w:val="Normal"/>
    <w:qFormat/>
    <w:rsid w:val="00825E31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5632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5632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5632BA"/>
    <w:pPr>
      <w:numPr>
        <w:numId w:val="3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373CB8"/>
    <w:pPr>
      <w:numPr>
        <w:numId w:val="33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5632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5632BA"/>
    <w:pPr>
      <w:numPr>
        <w:numId w:val="34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91536"/>
    <w:pPr>
      <w:numPr>
        <w:numId w:val="35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891536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checklist">
    <w:name w:val="RSC checklist"/>
    <w:basedOn w:val="Normal"/>
    <w:qFormat/>
    <w:rsid w:val="00BD2802"/>
    <w:rPr>
      <w:rFonts w:ascii="Century Gothic" w:hAnsi="Century Gothic"/>
      <w:sz w:val="22"/>
      <w:szCs w:val="22"/>
    </w:rPr>
  </w:style>
  <w:style w:type="paragraph" w:customStyle="1" w:styleId="RSCbasictextinbold">
    <w:name w:val="RSC basic text in bold"/>
    <w:basedOn w:val="RSCBasictext"/>
    <w:qFormat/>
    <w:rsid w:val="00432541"/>
    <w:rPr>
      <w:b/>
      <w:bCs/>
    </w:rPr>
  </w:style>
  <w:style w:type="numbering" w:customStyle="1" w:styleId="CurrentList10">
    <w:name w:val="Current List10"/>
    <w:uiPriority w:val="99"/>
    <w:rsid w:val="005632BA"/>
    <w:pPr>
      <w:numPr>
        <w:numId w:val="40"/>
      </w:numPr>
    </w:pPr>
  </w:style>
  <w:style w:type="numbering" w:customStyle="1" w:styleId="CurrentList11">
    <w:name w:val="Current List11"/>
    <w:uiPriority w:val="99"/>
    <w:rsid w:val="005632BA"/>
    <w:pPr>
      <w:numPr>
        <w:numId w:val="41"/>
      </w:numPr>
    </w:pPr>
  </w:style>
  <w:style w:type="numbering" w:customStyle="1" w:styleId="CurrentList12">
    <w:name w:val="Current List12"/>
    <w:uiPriority w:val="99"/>
    <w:rsid w:val="005632BA"/>
    <w:pPr>
      <w:numPr>
        <w:numId w:val="42"/>
      </w:numPr>
    </w:pPr>
  </w:style>
  <w:style w:type="paragraph" w:customStyle="1" w:styleId="RSCURL">
    <w:name w:val="RSC URL"/>
    <w:basedOn w:val="Normal"/>
    <w:qFormat/>
    <w:rsid w:val="002C47E0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EF3A6D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6650E3"/>
    <w:pPr>
      <w:jc w:val="center"/>
    </w:pPr>
  </w:style>
  <w:style w:type="numbering" w:customStyle="1" w:styleId="CurrentList13">
    <w:name w:val="Current List13"/>
    <w:uiPriority w:val="99"/>
    <w:rsid w:val="00373CB8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136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6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6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66D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6DF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9B4270"/>
    <w:pPr>
      <w:spacing w:before="0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HwGSF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48PcLE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HPZ78N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40EDE11444D4BB0D47ADA33E5B550" ma:contentTypeVersion="6" ma:contentTypeDescription="Create a new document." ma:contentTypeScope="" ma:versionID="fb9be1d360b3b3acdb1f8fd9ef703373">
  <xsd:schema xmlns:xsd="http://www.w3.org/2001/XMLSchema" xmlns:xs="http://www.w3.org/2001/XMLSchema" xmlns:p="http://schemas.microsoft.com/office/2006/metadata/properties" xmlns:ns2="022f180c-14c5-4dd0-8dd6-603b215e8c11" xmlns:ns3="0c8ce9b2-f80d-4d1e-ae4b-c443ce30c8fc" targetNamespace="http://schemas.microsoft.com/office/2006/metadata/properties" ma:root="true" ma:fieldsID="242f74086846bedb4683c7a9db8b5efe" ns2:_="" ns3:_="">
    <xsd:import namespace="022f180c-14c5-4dd0-8dd6-603b215e8c11"/>
    <xsd:import namespace="0c8ce9b2-f80d-4d1e-ae4b-c443ce30c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f180c-14c5-4dd0-8dd6-603b215e8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e9b2-f80d-4d1e-ae4b-c443ce30c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purl.org/dc/terms/"/>
    <ds:schemaRef ds:uri="022f180c-14c5-4dd0-8dd6-603b215e8c1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0c8ce9b2-f80d-4d1e-ae4b-c443ce30c8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F2C6C5-0BE1-4572-9261-F509AE4BB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f180c-14c5-4dd0-8dd6-603b215e8c11"/>
    <ds:schemaRef ds:uri="0c8ce9b2-f80d-4d1e-ae4b-c443ce30c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8FF41-63F7-45D0-BF5B-EC39D6A9A3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cycle assessment: shopping bags – teacher notes</vt:lpstr>
    </vt:vector>
  </TitlesOfParts>
  <Manager/>
  <Company>Royal Society of Chemistry</Company>
  <LinksUpToDate>false</LinksUpToDate>
  <CharactersWithSpaces>6723</CharactersWithSpaces>
  <SharedDoc>false</SharedDoc>
  <HyperlinkBase/>
  <HLinks>
    <vt:vector size="6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https://rsc.li/2KSkz1k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cycle assessment: shopping bags – teacher notes</dc:title>
  <dc:subject/>
  <dc:creator>Royal Society of Chemistry</dc:creator>
  <cp:keywords>life cycle assessment, environmental impact, raw materials, manufacturing, transport, use, disposal, use of resources, recycling, carrier bags, shopping bags, recycling, plastic bag, cotton bag, sustainability</cp:keywords>
  <dc:description>From The important takeaways of LCAs, Education in Chemistry, https://rsc.li/48PcLEY</dc:description>
  <cp:lastModifiedBy>Juliet Kennard</cp:lastModifiedBy>
  <cp:revision>5</cp:revision>
  <dcterms:created xsi:type="dcterms:W3CDTF">2024-01-30T09:17:00Z</dcterms:created>
  <dcterms:modified xsi:type="dcterms:W3CDTF">2024-01-30T16:10:00Z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0x01010014540EDE11444D4BB0D47ADA33E5B550</vt:lpwstr>
  </property>
</Properties>
</file>