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548CD" w14:textId="0CFDB74B" w:rsidR="005F286E" w:rsidRDefault="00FF2EBD" w:rsidP="00CF6E3E">
      <w:pPr>
        <w:pStyle w:val="RSCH1"/>
      </w:pPr>
      <w:r>
        <w:t>Using indigestion tablets to neutralise an acid</w:t>
      </w:r>
    </w:p>
    <w:p w14:paraId="665E0536" w14:textId="1A305871" w:rsidR="001A278F" w:rsidRDefault="00905E09" w:rsidP="000B0FE6">
      <w:pPr>
        <w:pStyle w:val="RSCBasictext"/>
        <w:rPr>
          <w:rStyle w:val="Hyperlink"/>
          <w:lang w:eastAsia="en-GB"/>
        </w:rPr>
      </w:pPr>
      <w:r>
        <w:rPr>
          <w:lang w:eastAsia="en-GB"/>
        </w:rPr>
        <w:t>This resource</w:t>
      </w:r>
      <w:r w:rsidR="001A278F">
        <w:rPr>
          <w:lang w:eastAsia="en-GB"/>
        </w:rPr>
        <w:t xml:space="preserve"> accompanies the </w:t>
      </w:r>
      <w:r w:rsidR="00856060">
        <w:rPr>
          <w:b/>
          <w:bCs/>
          <w:lang w:eastAsia="en-GB"/>
        </w:rPr>
        <w:t xml:space="preserve">Titration experiment </w:t>
      </w:r>
      <w:r w:rsidR="001A278F">
        <w:rPr>
          <w:lang w:eastAsia="en-GB"/>
        </w:rPr>
        <w:t>in</w:t>
      </w:r>
      <w:r w:rsidR="00856060">
        <w:rPr>
          <w:lang w:eastAsia="en-GB"/>
        </w:rPr>
        <w:t>fographic poster in</w:t>
      </w:r>
      <w:r w:rsidR="001A278F">
        <w:rPr>
          <w:lang w:eastAsia="en-GB"/>
        </w:rPr>
        <w:t xml:space="preserve"> </w:t>
      </w:r>
      <w:r w:rsidR="001A278F" w:rsidRPr="001A278F">
        <w:rPr>
          <w:i/>
          <w:iCs/>
          <w:lang w:eastAsia="en-GB"/>
        </w:rPr>
        <w:t>Education in Chemistry</w:t>
      </w:r>
      <w:r w:rsidR="005527B1" w:rsidRPr="00745329">
        <w:rPr>
          <w:lang w:eastAsia="en-GB"/>
        </w:rPr>
        <w:t>,</w:t>
      </w:r>
      <w:r w:rsidR="001A278F" w:rsidRPr="005527B1">
        <w:rPr>
          <w:lang w:eastAsia="en-GB"/>
        </w:rPr>
        <w:t xml:space="preserve"> </w:t>
      </w:r>
      <w:r w:rsidR="001A278F">
        <w:rPr>
          <w:lang w:eastAsia="en-GB"/>
        </w:rPr>
        <w:t xml:space="preserve">which </w:t>
      </w:r>
      <w:r w:rsidR="00A47E1A">
        <w:rPr>
          <w:lang w:eastAsia="en-GB"/>
        </w:rPr>
        <w:t xml:space="preserve">shows </w:t>
      </w:r>
      <w:r w:rsidR="00F53D5E">
        <w:rPr>
          <w:lang w:eastAsia="en-GB"/>
        </w:rPr>
        <w:t>learner</w:t>
      </w:r>
      <w:r w:rsidR="00A47E1A">
        <w:rPr>
          <w:lang w:eastAsia="en-GB"/>
        </w:rPr>
        <w:t xml:space="preserve">s </w:t>
      </w:r>
      <w:r w:rsidR="00D93AEF">
        <w:rPr>
          <w:lang w:eastAsia="en-GB"/>
        </w:rPr>
        <w:t xml:space="preserve">the steps in the titration procedure in an eye-catching visual. </w:t>
      </w:r>
      <w:r w:rsidR="00856060">
        <w:rPr>
          <w:lang w:eastAsia="en-GB"/>
        </w:rPr>
        <w:t>The poster is available to download from</w:t>
      </w:r>
      <w:r w:rsidR="001A278F">
        <w:rPr>
          <w:lang w:eastAsia="en-GB"/>
        </w:rPr>
        <w:t xml:space="preserve">: </w:t>
      </w:r>
      <w:hyperlink r:id="rId8" w:history="1">
        <w:r w:rsidR="00E34646" w:rsidRPr="00F51928">
          <w:rPr>
            <w:rStyle w:val="Hyperlink"/>
          </w:rPr>
          <w:t>rsc.li/3A6EftG</w:t>
        </w:r>
      </w:hyperlink>
      <w:r w:rsidR="00E34646">
        <w:t xml:space="preserve"> </w:t>
      </w:r>
    </w:p>
    <w:p w14:paraId="000E8FA7" w14:textId="2DF2EA51" w:rsidR="00856060" w:rsidRPr="00856060" w:rsidRDefault="00856060" w:rsidP="00856060">
      <w:pPr>
        <w:pStyle w:val="RSCBasictext"/>
      </w:pPr>
      <w:r w:rsidRPr="00856060">
        <w:rPr>
          <w:rStyle w:val="Hyperlink"/>
          <w:color w:val="auto"/>
          <w:u w:val="none"/>
        </w:rPr>
        <w:t xml:space="preserve">The investigation is part of the </w:t>
      </w:r>
      <w:r w:rsidRPr="00856060">
        <w:rPr>
          <w:rStyle w:val="Hyperlink"/>
          <w:b/>
          <w:bCs/>
          <w:color w:val="auto"/>
          <w:u w:val="none"/>
        </w:rPr>
        <w:t xml:space="preserve">Nuffield </w:t>
      </w:r>
      <w:r w:rsidR="0041092D">
        <w:rPr>
          <w:rStyle w:val="Hyperlink"/>
          <w:b/>
          <w:bCs/>
          <w:color w:val="auto"/>
          <w:u w:val="none"/>
        </w:rPr>
        <w:t>p</w:t>
      </w:r>
      <w:r w:rsidRPr="00856060">
        <w:rPr>
          <w:rStyle w:val="Hyperlink"/>
          <w:b/>
          <w:bCs/>
          <w:color w:val="auto"/>
          <w:u w:val="none"/>
        </w:rPr>
        <w:t xml:space="preserve">ractical </w:t>
      </w:r>
      <w:r w:rsidR="0041092D">
        <w:rPr>
          <w:rStyle w:val="Hyperlink"/>
          <w:b/>
          <w:bCs/>
          <w:color w:val="auto"/>
          <w:u w:val="none"/>
        </w:rPr>
        <w:t>c</w:t>
      </w:r>
      <w:r w:rsidRPr="00856060">
        <w:rPr>
          <w:rStyle w:val="Hyperlink"/>
          <w:b/>
          <w:bCs/>
          <w:color w:val="auto"/>
          <w:u w:val="none"/>
        </w:rPr>
        <w:t>ollection</w:t>
      </w:r>
      <w:r w:rsidRPr="00856060">
        <w:rPr>
          <w:rStyle w:val="Hyperlink"/>
          <w:color w:val="auto"/>
          <w:u w:val="none"/>
        </w:rPr>
        <w:t>, dev</w:t>
      </w:r>
      <w:r>
        <w:rPr>
          <w:rStyle w:val="Hyperlink"/>
          <w:color w:val="auto"/>
          <w:u w:val="none"/>
        </w:rPr>
        <w:t xml:space="preserve">eloped by the Nuffield Foundation and the Royal Society of Chemistry. Delve into a wide range of chemical concepts and processes with this collection of over 200 step-by-step practicals: </w:t>
      </w:r>
      <w:hyperlink r:id="rId9" w:history="1">
        <w:r w:rsidR="00E34646" w:rsidRPr="00F51928">
          <w:rPr>
            <w:rStyle w:val="Hyperlink"/>
          </w:rPr>
          <w:t>rsc.li/3NI70A1</w:t>
        </w:r>
      </w:hyperlink>
      <w:r w:rsidR="00C0455B" w:rsidRPr="00C0455B">
        <w:t>.</w:t>
      </w:r>
    </w:p>
    <w:p w14:paraId="00D1AFCD" w14:textId="12E4FBD9" w:rsidR="001A278F" w:rsidRDefault="001A278F" w:rsidP="001A278F">
      <w:pPr>
        <w:pStyle w:val="RSCH2"/>
        <w:rPr>
          <w:lang w:eastAsia="en-GB"/>
        </w:rPr>
      </w:pPr>
      <w:r>
        <w:rPr>
          <w:lang w:eastAsia="en-GB"/>
        </w:rPr>
        <w:t>Learning objectives</w:t>
      </w:r>
    </w:p>
    <w:p w14:paraId="203B1E46" w14:textId="2E556F8E" w:rsidR="006676EF" w:rsidRDefault="006676EF" w:rsidP="009212B4">
      <w:pPr>
        <w:pStyle w:val="RSCLearningobjectives"/>
        <w:spacing w:after="160" w:line="240" w:lineRule="auto"/>
        <w:contextualSpacing w:val="0"/>
      </w:pPr>
      <w:r>
        <w:t xml:space="preserve">Follow a method and carry out a titration to determine which </w:t>
      </w:r>
      <w:r w:rsidR="00293ED6">
        <w:t>brand of indigestion tab</w:t>
      </w:r>
      <w:r w:rsidR="00FA2E46">
        <w:t xml:space="preserve">let </w:t>
      </w:r>
      <w:r>
        <w:t>contains the most active ingredient.</w:t>
      </w:r>
    </w:p>
    <w:p w14:paraId="17052B37" w14:textId="77777777" w:rsidR="006676EF" w:rsidRDefault="006676EF" w:rsidP="009212B4">
      <w:pPr>
        <w:pStyle w:val="RSCLearningobjectives"/>
        <w:spacing w:after="160" w:line="240" w:lineRule="auto"/>
        <w:contextualSpacing w:val="0"/>
      </w:pPr>
      <w:r>
        <w:t xml:space="preserve">Explain the reasons behind particular steps in the titration procedure. </w:t>
      </w:r>
    </w:p>
    <w:p w14:paraId="3C5790E8" w14:textId="77777777" w:rsidR="006676EF" w:rsidRPr="0049734A" w:rsidRDefault="006676EF" w:rsidP="009212B4">
      <w:pPr>
        <w:pStyle w:val="RSCLearningobjectives"/>
        <w:spacing w:after="160" w:line="240" w:lineRule="auto"/>
        <w:contextualSpacing w:val="0"/>
      </w:pPr>
      <w:r>
        <w:t xml:space="preserve">Explain how procedural errors can contribute towards inaccurate titres. </w:t>
      </w:r>
    </w:p>
    <w:p w14:paraId="44D9CE74" w14:textId="1FCBEA8D" w:rsidR="000D00F2" w:rsidRDefault="000042CB" w:rsidP="000B0FE6">
      <w:pPr>
        <w:pStyle w:val="RSCBasictext"/>
        <w:rPr>
          <w:lang w:eastAsia="en-GB"/>
        </w:rPr>
      </w:pPr>
      <w:r>
        <w:rPr>
          <w:lang w:eastAsia="en-GB"/>
        </w:rPr>
        <w:t xml:space="preserve">This resource is designed </w:t>
      </w:r>
      <w:r w:rsidR="0058666C">
        <w:rPr>
          <w:lang w:eastAsia="en-GB"/>
        </w:rPr>
        <w:t>for you to</w:t>
      </w:r>
      <w:r>
        <w:rPr>
          <w:lang w:eastAsia="en-GB"/>
        </w:rPr>
        <w:t xml:space="preserve"> use in the early stages </w:t>
      </w:r>
      <w:r w:rsidR="00431226">
        <w:rPr>
          <w:lang w:eastAsia="en-GB"/>
        </w:rPr>
        <w:t xml:space="preserve">of </w:t>
      </w:r>
      <w:r w:rsidR="0058666C">
        <w:rPr>
          <w:lang w:eastAsia="en-GB"/>
        </w:rPr>
        <w:t xml:space="preserve">teaching </w:t>
      </w:r>
      <w:r>
        <w:rPr>
          <w:lang w:eastAsia="en-GB"/>
        </w:rPr>
        <w:t>the titration procedure. The method has been written with enough detail for</w:t>
      </w:r>
      <w:r w:rsidR="002236A8">
        <w:rPr>
          <w:lang w:eastAsia="en-GB"/>
        </w:rPr>
        <w:t xml:space="preserve"> novice</w:t>
      </w:r>
      <w:r>
        <w:rPr>
          <w:lang w:eastAsia="en-GB"/>
        </w:rPr>
        <w:t xml:space="preserve"> </w:t>
      </w:r>
      <w:r w:rsidR="00F53D5E">
        <w:rPr>
          <w:lang w:eastAsia="en-GB"/>
        </w:rPr>
        <w:t>learner</w:t>
      </w:r>
      <w:r>
        <w:rPr>
          <w:lang w:eastAsia="en-GB"/>
        </w:rPr>
        <w:t xml:space="preserve">s. When </w:t>
      </w:r>
      <w:r w:rsidR="00F53D5E">
        <w:rPr>
          <w:lang w:eastAsia="en-GB"/>
        </w:rPr>
        <w:t>learners</w:t>
      </w:r>
      <w:r>
        <w:rPr>
          <w:lang w:eastAsia="en-GB"/>
        </w:rPr>
        <w:t xml:space="preserve"> next complete a titration they should need less guidance. </w:t>
      </w:r>
      <w:r w:rsidR="00002FA6">
        <w:rPr>
          <w:lang w:eastAsia="en-GB"/>
        </w:rPr>
        <w:t xml:space="preserve">Observe </w:t>
      </w:r>
      <w:r>
        <w:rPr>
          <w:lang w:eastAsia="en-GB"/>
        </w:rPr>
        <w:t>as they follow the method</w:t>
      </w:r>
      <w:r w:rsidR="006676EF">
        <w:rPr>
          <w:lang w:eastAsia="en-GB"/>
        </w:rPr>
        <w:t xml:space="preserve">; </w:t>
      </w:r>
      <w:r>
        <w:rPr>
          <w:lang w:eastAsia="en-GB"/>
        </w:rPr>
        <w:t>in particular</w:t>
      </w:r>
      <w:r w:rsidR="00716A6D">
        <w:rPr>
          <w:lang w:eastAsia="en-GB"/>
        </w:rPr>
        <w:t>,</w:t>
      </w:r>
      <w:r>
        <w:rPr>
          <w:lang w:eastAsia="en-GB"/>
        </w:rPr>
        <w:t xml:space="preserve"> </w:t>
      </w:r>
      <w:r w:rsidR="00406E04">
        <w:rPr>
          <w:lang w:eastAsia="en-GB"/>
        </w:rPr>
        <w:t>check that they</w:t>
      </w:r>
      <w:r w:rsidR="00585392">
        <w:rPr>
          <w:lang w:eastAsia="en-GB"/>
        </w:rPr>
        <w:t xml:space="preserve"> add the correct amount of indicator and remov</w:t>
      </w:r>
      <w:r w:rsidR="00406E04">
        <w:rPr>
          <w:lang w:eastAsia="en-GB"/>
        </w:rPr>
        <w:t>e</w:t>
      </w:r>
      <w:r w:rsidR="00585392">
        <w:rPr>
          <w:lang w:eastAsia="en-GB"/>
        </w:rPr>
        <w:t xml:space="preserve"> the funnel during the addition of </w:t>
      </w:r>
      <w:r w:rsidR="00406E04">
        <w:rPr>
          <w:lang w:eastAsia="en-GB"/>
        </w:rPr>
        <w:t xml:space="preserve">the </w:t>
      </w:r>
      <w:r w:rsidR="00585392">
        <w:rPr>
          <w:lang w:eastAsia="en-GB"/>
        </w:rPr>
        <w:t>acid.</w:t>
      </w:r>
      <w:r w:rsidR="006676EF">
        <w:rPr>
          <w:lang w:eastAsia="en-GB"/>
        </w:rPr>
        <w:t xml:space="preserve"> Success in carrying out the experiment </w:t>
      </w:r>
      <w:r w:rsidR="000D00F2">
        <w:rPr>
          <w:lang w:eastAsia="en-GB"/>
        </w:rPr>
        <w:t>covers t</w:t>
      </w:r>
      <w:r w:rsidR="006676EF">
        <w:rPr>
          <w:lang w:eastAsia="en-GB"/>
        </w:rPr>
        <w:t>he first</w:t>
      </w:r>
      <w:r w:rsidR="00002FA6">
        <w:rPr>
          <w:lang w:eastAsia="en-GB"/>
        </w:rPr>
        <w:t xml:space="preserve"> </w:t>
      </w:r>
      <w:r w:rsidR="0012739A">
        <w:rPr>
          <w:lang w:eastAsia="en-GB"/>
        </w:rPr>
        <w:t xml:space="preserve">learning objective. </w:t>
      </w:r>
    </w:p>
    <w:p w14:paraId="15ADFEB4" w14:textId="35986971" w:rsidR="001A278F" w:rsidRDefault="004B4062" w:rsidP="000B0FE6">
      <w:pPr>
        <w:pStyle w:val="RSCBasictext"/>
        <w:rPr>
          <w:lang w:eastAsia="en-GB"/>
        </w:rPr>
      </w:pPr>
      <w:r>
        <w:rPr>
          <w:lang w:eastAsia="en-GB"/>
        </w:rPr>
        <w:t xml:space="preserve">Use the </w:t>
      </w:r>
      <w:r w:rsidR="00B1427E">
        <w:rPr>
          <w:lang w:eastAsia="en-GB"/>
        </w:rPr>
        <w:t>follow-up questions</w:t>
      </w:r>
      <w:r w:rsidR="00D72CDA">
        <w:rPr>
          <w:lang w:eastAsia="en-GB"/>
        </w:rPr>
        <w:t xml:space="preserve"> to assess understanding </w:t>
      </w:r>
      <w:r w:rsidR="00B1427E">
        <w:rPr>
          <w:lang w:eastAsia="en-GB"/>
        </w:rPr>
        <w:t>of learning objectives two and three</w:t>
      </w:r>
      <w:r w:rsidR="003D5F75">
        <w:rPr>
          <w:lang w:eastAsia="en-GB"/>
        </w:rPr>
        <w:t xml:space="preserve">. </w:t>
      </w:r>
    </w:p>
    <w:p w14:paraId="1D8FB140" w14:textId="77777777" w:rsidR="00856060" w:rsidRDefault="00856060" w:rsidP="002A3C79">
      <w:pPr>
        <w:pStyle w:val="RSCH2"/>
        <w:rPr>
          <w:lang w:eastAsia="en-GB"/>
        </w:rPr>
      </w:pPr>
      <w:r>
        <w:rPr>
          <w:lang w:eastAsia="en-GB"/>
        </w:rPr>
        <w:t>Introduction</w:t>
      </w:r>
    </w:p>
    <w:p w14:paraId="3E53B6D6" w14:textId="0A7CB936" w:rsidR="00FD2586" w:rsidRDefault="00FD2586" w:rsidP="006A20DC">
      <w:pPr>
        <w:pStyle w:val="RSCBasictext"/>
      </w:pPr>
      <w:r>
        <w:t>Titration is a long-established quantitative analytical technique. At a basic level it uses a reaction of a volume of a solution of known concentration to find out the concentration of an unknown</w:t>
      </w:r>
      <w:r w:rsidR="006676EF">
        <w:t xml:space="preserve"> solution</w:t>
      </w:r>
      <w:r>
        <w:t xml:space="preserve">. There are many different types of titration; this practical focuses on an acid-base reaction. </w:t>
      </w:r>
    </w:p>
    <w:p w14:paraId="67DFB471" w14:textId="51D7DA3F" w:rsidR="00FD2586" w:rsidRDefault="00FD2586" w:rsidP="006A20DC">
      <w:pPr>
        <w:pStyle w:val="RSCBasictext"/>
      </w:pPr>
      <w:r>
        <w:t>Indigestion tablets contain a mixture of substances which can neutralise stomach acid. These include carbonates of group 2 metals (e.g. calcium carbonate) and group 2 hydroxides (e.g. magnesium hydroxide). In this experiment</w:t>
      </w:r>
      <w:r w:rsidR="00432C25">
        <w:t>,</w:t>
      </w:r>
      <w:r w:rsidR="00D404FF">
        <w:t xml:space="preserve"> learners analyse </w:t>
      </w:r>
      <w:r>
        <w:t xml:space="preserve">different brands of indigestion tablet and </w:t>
      </w:r>
      <w:r w:rsidR="00D404FF">
        <w:t xml:space="preserve">use </w:t>
      </w:r>
      <w:r>
        <w:t>the average titres of the titration</w:t>
      </w:r>
      <w:r w:rsidR="00D404FF">
        <w:t xml:space="preserve"> </w:t>
      </w:r>
      <w:r>
        <w:t xml:space="preserve">to determine which tablet contains the most active ingredient. </w:t>
      </w:r>
    </w:p>
    <w:p w14:paraId="08BA93B4" w14:textId="4593BD25" w:rsidR="00856060" w:rsidRDefault="00EC113E" w:rsidP="006A20DC">
      <w:pPr>
        <w:pStyle w:val="RSCBasictext"/>
        <w:rPr>
          <w:lang w:eastAsia="en-GB"/>
        </w:rPr>
      </w:pPr>
      <w:r>
        <w:rPr>
          <w:lang w:eastAsia="en-GB"/>
        </w:rPr>
        <w:t xml:space="preserve">The focus is </w:t>
      </w:r>
      <w:r w:rsidR="006676EF">
        <w:rPr>
          <w:lang w:eastAsia="en-GB"/>
        </w:rPr>
        <w:t>o</w:t>
      </w:r>
      <w:r>
        <w:rPr>
          <w:lang w:eastAsia="en-GB"/>
        </w:rPr>
        <w:t xml:space="preserve">n the experiment itself rather than the generation of results which can be used in a classic titration calculation. </w:t>
      </w:r>
      <w:r w:rsidR="00CE29FE">
        <w:rPr>
          <w:lang w:eastAsia="en-GB"/>
        </w:rPr>
        <w:t xml:space="preserve">This makes this experiment ideal </w:t>
      </w:r>
      <w:r w:rsidR="003C6B45">
        <w:rPr>
          <w:lang w:eastAsia="en-GB"/>
        </w:rPr>
        <w:t>to use</w:t>
      </w:r>
      <w:r w:rsidR="00CE29FE">
        <w:rPr>
          <w:lang w:eastAsia="en-GB"/>
        </w:rPr>
        <w:t xml:space="preserve"> as </w:t>
      </w:r>
      <w:r w:rsidR="00F53D5E">
        <w:rPr>
          <w:lang w:eastAsia="en-GB"/>
        </w:rPr>
        <w:t>learner</w:t>
      </w:r>
      <w:r w:rsidR="00CE29FE">
        <w:rPr>
          <w:lang w:eastAsia="en-GB"/>
        </w:rPr>
        <w:t>s make the transition from 14</w:t>
      </w:r>
      <w:r w:rsidR="006676EF">
        <w:rPr>
          <w:lang w:eastAsia="en-GB"/>
        </w:rPr>
        <w:t>–</w:t>
      </w:r>
      <w:r w:rsidR="00CE29FE">
        <w:rPr>
          <w:lang w:eastAsia="en-GB"/>
        </w:rPr>
        <w:t xml:space="preserve">16 chemistry. </w:t>
      </w:r>
    </w:p>
    <w:p w14:paraId="207E431E" w14:textId="13454A5F" w:rsidR="00FF2EBD" w:rsidRDefault="00FF2EBD" w:rsidP="006A20DC">
      <w:pPr>
        <w:pStyle w:val="RSCBasictext"/>
        <w:rPr>
          <w:lang w:eastAsia="en-GB"/>
        </w:rPr>
      </w:pPr>
      <w:r>
        <w:rPr>
          <w:lang w:eastAsia="en-GB"/>
        </w:rPr>
        <w:t>The experiment to test a single table</w:t>
      </w:r>
      <w:r w:rsidR="00A544C8">
        <w:rPr>
          <w:lang w:eastAsia="en-GB"/>
        </w:rPr>
        <w:t>t</w:t>
      </w:r>
      <w:r>
        <w:rPr>
          <w:lang w:eastAsia="en-GB"/>
        </w:rPr>
        <w:t xml:space="preserve"> should take no more than 25 minutes</w:t>
      </w:r>
      <w:r w:rsidR="00EE1275">
        <w:rPr>
          <w:lang w:eastAsia="en-GB"/>
        </w:rPr>
        <w:t xml:space="preserve"> and </w:t>
      </w:r>
      <w:r w:rsidR="00F53D5E">
        <w:rPr>
          <w:lang w:eastAsia="en-GB"/>
        </w:rPr>
        <w:t>learner</w:t>
      </w:r>
      <w:r w:rsidR="00EE1275">
        <w:rPr>
          <w:lang w:eastAsia="en-GB"/>
        </w:rPr>
        <w:t xml:space="preserve">s should get quicker </w:t>
      </w:r>
      <w:r w:rsidR="009E7886">
        <w:rPr>
          <w:lang w:eastAsia="en-GB"/>
        </w:rPr>
        <w:t xml:space="preserve">as </w:t>
      </w:r>
      <w:r w:rsidR="00EE1275">
        <w:rPr>
          <w:lang w:eastAsia="en-GB"/>
        </w:rPr>
        <w:t>they do repeats.</w:t>
      </w:r>
      <w:r>
        <w:rPr>
          <w:lang w:eastAsia="en-GB"/>
        </w:rPr>
        <w:t xml:space="preserve"> </w:t>
      </w:r>
      <w:r w:rsidR="00B34C3A">
        <w:rPr>
          <w:lang w:eastAsia="en-GB"/>
        </w:rPr>
        <w:t>Allocate d</w:t>
      </w:r>
      <w:r>
        <w:rPr>
          <w:lang w:eastAsia="en-GB"/>
        </w:rPr>
        <w:t xml:space="preserve">ifferent groups one </w:t>
      </w:r>
      <w:r>
        <w:rPr>
          <w:lang w:eastAsia="en-GB"/>
        </w:rPr>
        <w:lastRenderedPageBreak/>
        <w:t>‘standardisation’ brand of tablet to test and one other brand, so that the class can compare a number of different brands in a one-hour lesson.</w:t>
      </w:r>
    </w:p>
    <w:p w14:paraId="076AE990" w14:textId="77777777" w:rsidR="00FF2EBD" w:rsidRDefault="00FF2EBD" w:rsidP="00FF2EBD">
      <w:pPr>
        <w:pStyle w:val="RSCH2"/>
        <w:rPr>
          <w:lang w:eastAsia="en-GB"/>
        </w:rPr>
      </w:pPr>
      <w:r>
        <w:rPr>
          <w:lang w:eastAsia="en-GB"/>
        </w:rPr>
        <w:t>Scaffolding</w:t>
      </w:r>
    </w:p>
    <w:p w14:paraId="25ECC5BF" w14:textId="7AD29E4A" w:rsidR="00FF2EBD" w:rsidRDefault="00F53D5E" w:rsidP="002A3C79">
      <w:pPr>
        <w:pStyle w:val="RSC2-columntabs"/>
        <w:rPr>
          <w:lang w:eastAsia="en-GB"/>
        </w:rPr>
      </w:pPr>
      <w:r>
        <w:rPr>
          <w:lang w:eastAsia="en-GB"/>
        </w:rPr>
        <w:t>Learners</w:t>
      </w:r>
      <w:r w:rsidR="00B9619F">
        <w:rPr>
          <w:lang w:eastAsia="en-GB"/>
        </w:rPr>
        <w:t xml:space="preserve"> in this age range are on their journey towards independence in carrying ou</w:t>
      </w:r>
      <w:r w:rsidR="00DF2582">
        <w:rPr>
          <w:lang w:eastAsia="en-GB"/>
        </w:rPr>
        <w:t xml:space="preserve">t </w:t>
      </w:r>
      <w:r w:rsidR="00B9619F">
        <w:rPr>
          <w:lang w:eastAsia="en-GB"/>
        </w:rPr>
        <w:t xml:space="preserve">practical procedures. </w:t>
      </w:r>
      <w:r w:rsidR="00FA7F05">
        <w:rPr>
          <w:lang w:eastAsia="en-GB"/>
        </w:rPr>
        <w:t>S</w:t>
      </w:r>
      <w:r w:rsidR="003A6A7D">
        <w:rPr>
          <w:lang w:eastAsia="en-GB"/>
        </w:rPr>
        <w:t>caffold</w:t>
      </w:r>
      <w:r w:rsidR="00FA7F05">
        <w:rPr>
          <w:lang w:eastAsia="en-GB"/>
        </w:rPr>
        <w:t xml:space="preserve"> the investigation</w:t>
      </w:r>
      <w:r w:rsidR="003A6A7D">
        <w:rPr>
          <w:lang w:eastAsia="en-GB"/>
        </w:rPr>
        <w:t xml:space="preserve"> </w:t>
      </w:r>
      <w:r w:rsidR="00A81615">
        <w:rPr>
          <w:lang w:eastAsia="en-GB"/>
        </w:rPr>
        <w:t xml:space="preserve">to support </w:t>
      </w:r>
      <w:r w:rsidR="00DF2582">
        <w:rPr>
          <w:lang w:eastAsia="en-GB"/>
        </w:rPr>
        <w:t xml:space="preserve">learners </w:t>
      </w:r>
      <w:r w:rsidR="00A81615">
        <w:rPr>
          <w:lang w:eastAsia="en-GB"/>
        </w:rPr>
        <w:t>with limited practical experience</w:t>
      </w:r>
      <w:r w:rsidR="008E5C3E">
        <w:rPr>
          <w:lang w:eastAsia="en-GB"/>
        </w:rPr>
        <w:t xml:space="preserve"> using the following</w:t>
      </w:r>
      <w:r w:rsidR="00A81615">
        <w:rPr>
          <w:lang w:eastAsia="en-GB"/>
        </w:rPr>
        <w:t xml:space="preserve"> suggestions</w:t>
      </w:r>
      <w:r w:rsidR="00071AC2">
        <w:rPr>
          <w:lang w:eastAsia="en-GB"/>
        </w:rPr>
        <w:t>:</w:t>
      </w:r>
      <w:r w:rsidR="00A81615">
        <w:rPr>
          <w:lang w:eastAsia="en-GB"/>
        </w:rPr>
        <w:t xml:space="preserve"> </w:t>
      </w:r>
    </w:p>
    <w:p w14:paraId="3B076080" w14:textId="2AE53AF4" w:rsidR="00A81615" w:rsidRDefault="00A559FE" w:rsidP="00DF2582">
      <w:pPr>
        <w:pStyle w:val="RSCBulletedlist"/>
        <w:rPr>
          <w:lang w:eastAsia="en-GB"/>
        </w:rPr>
      </w:pPr>
      <w:r>
        <w:rPr>
          <w:lang w:eastAsia="en-GB"/>
        </w:rPr>
        <w:t xml:space="preserve">Ask </w:t>
      </w:r>
      <w:r w:rsidR="00F53D5E">
        <w:rPr>
          <w:lang w:eastAsia="en-GB"/>
        </w:rPr>
        <w:t>learner</w:t>
      </w:r>
      <w:r>
        <w:rPr>
          <w:lang w:eastAsia="en-GB"/>
        </w:rPr>
        <w:t xml:space="preserve">s to read the method and look at the poster </w:t>
      </w:r>
      <w:hyperlink r:id="rId10" w:history="1">
        <w:r w:rsidR="00E34646" w:rsidRPr="00F51928">
          <w:rPr>
            <w:rStyle w:val="Hyperlink"/>
          </w:rPr>
          <w:t>rsc.li/3A6EftG</w:t>
        </w:r>
      </w:hyperlink>
      <w:r w:rsidR="00E34646">
        <w:t xml:space="preserve"> </w:t>
      </w:r>
      <w:r>
        <w:rPr>
          <w:lang w:eastAsia="en-GB"/>
        </w:rPr>
        <w:t>or watch a video</w:t>
      </w:r>
      <w:r w:rsidR="00DF2582">
        <w:rPr>
          <w:lang w:eastAsia="en-GB"/>
        </w:rPr>
        <w:t xml:space="preserve"> </w:t>
      </w:r>
      <w:hyperlink r:id="rId11" w:history="1">
        <w:r w:rsidR="006A66CA" w:rsidRPr="00F51928">
          <w:rPr>
            <w:rStyle w:val="Hyperlink"/>
            <w:lang w:eastAsia="en-GB"/>
          </w:rPr>
          <w:t>rsc.li/4eakxuR</w:t>
        </w:r>
      </w:hyperlink>
      <w:r w:rsidR="006A66CA">
        <w:rPr>
          <w:lang w:eastAsia="en-GB"/>
        </w:rPr>
        <w:t xml:space="preserve"> </w:t>
      </w:r>
      <w:r>
        <w:rPr>
          <w:lang w:eastAsia="en-GB"/>
        </w:rPr>
        <w:t xml:space="preserve">on how to use a burette </w:t>
      </w:r>
      <w:r w:rsidR="000F14AB">
        <w:rPr>
          <w:lang w:eastAsia="en-GB"/>
        </w:rPr>
        <w:t xml:space="preserve">prior </w:t>
      </w:r>
      <w:r>
        <w:rPr>
          <w:lang w:eastAsia="en-GB"/>
        </w:rPr>
        <w:t>to the practical session</w:t>
      </w:r>
      <w:r w:rsidR="00307806">
        <w:rPr>
          <w:lang w:eastAsia="en-GB"/>
        </w:rPr>
        <w:t>.</w:t>
      </w:r>
    </w:p>
    <w:p w14:paraId="63FC72DB" w14:textId="52755309" w:rsidR="000F14AB" w:rsidRDefault="000F14AB" w:rsidP="00F53D5E">
      <w:pPr>
        <w:pStyle w:val="RSCBulletedlist"/>
        <w:rPr>
          <w:lang w:eastAsia="en-GB"/>
        </w:rPr>
      </w:pPr>
      <w:r>
        <w:rPr>
          <w:lang w:eastAsia="en-GB"/>
        </w:rPr>
        <w:t xml:space="preserve">Demonstrate the correct method for using a burette either in this lesson or a </w:t>
      </w:r>
      <w:r w:rsidR="00F32B90">
        <w:rPr>
          <w:lang w:eastAsia="en-GB"/>
        </w:rPr>
        <w:t xml:space="preserve">prior </w:t>
      </w:r>
      <w:r>
        <w:rPr>
          <w:lang w:eastAsia="en-GB"/>
        </w:rPr>
        <w:t xml:space="preserve">lesson. </w:t>
      </w:r>
    </w:p>
    <w:p w14:paraId="1807757A" w14:textId="1EF8CAC5" w:rsidR="000F14AB" w:rsidRDefault="00B547BD" w:rsidP="00F53D5E">
      <w:pPr>
        <w:pStyle w:val="RSCBulletedlist"/>
        <w:rPr>
          <w:lang w:eastAsia="en-GB"/>
        </w:rPr>
      </w:pPr>
      <w:r>
        <w:rPr>
          <w:lang w:eastAsia="en-GB"/>
        </w:rPr>
        <w:t>Provide samples with the correct colour match for the end point with methyl orange.</w:t>
      </w:r>
    </w:p>
    <w:p w14:paraId="2070A693" w14:textId="271E540F" w:rsidR="00307806" w:rsidRDefault="00DF2582" w:rsidP="00307806">
      <w:pPr>
        <w:pStyle w:val="RSCBulletedlist"/>
        <w:numPr>
          <w:ilvl w:val="0"/>
          <w:numId w:val="0"/>
        </w:numPr>
        <w:ind w:left="363" w:hanging="363"/>
        <w:rPr>
          <w:lang w:eastAsia="en-GB"/>
        </w:rPr>
      </w:pPr>
      <w:r>
        <w:rPr>
          <w:lang w:eastAsia="en-GB"/>
        </w:rPr>
        <w:t xml:space="preserve">For more challenge, </w:t>
      </w:r>
      <w:r w:rsidR="00035FA0">
        <w:rPr>
          <w:lang w:eastAsia="en-GB"/>
        </w:rPr>
        <w:t xml:space="preserve">extend </w:t>
      </w:r>
      <w:r>
        <w:rPr>
          <w:lang w:eastAsia="en-GB"/>
        </w:rPr>
        <w:t xml:space="preserve">this </w:t>
      </w:r>
      <w:r w:rsidR="00307806">
        <w:rPr>
          <w:lang w:eastAsia="en-GB"/>
        </w:rPr>
        <w:t xml:space="preserve">practical as a back-titration technique. </w:t>
      </w:r>
    </w:p>
    <w:p w14:paraId="5C712080" w14:textId="77777777" w:rsidR="001A278F" w:rsidRDefault="001A278F" w:rsidP="00170732">
      <w:pPr>
        <w:pStyle w:val="RSCH2"/>
        <w:rPr>
          <w:lang w:eastAsia="en-GB"/>
        </w:rPr>
      </w:pPr>
      <w:r>
        <w:rPr>
          <w:lang w:eastAsia="en-GB"/>
        </w:rPr>
        <w:t>Technician notes</w:t>
      </w:r>
    </w:p>
    <w:p w14:paraId="040E3DF5" w14:textId="4E678724" w:rsidR="00856060" w:rsidRDefault="00856060" w:rsidP="002A3C79">
      <w:pPr>
        <w:pStyle w:val="RSCBasictext"/>
      </w:pPr>
      <w:r>
        <w:rPr>
          <w:lang w:eastAsia="en-GB"/>
        </w:rPr>
        <w:t>Separate technician notes, including information about preparation and disposal</w:t>
      </w:r>
      <w:r w:rsidR="00432594">
        <w:rPr>
          <w:lang w:eastAsia="en-GB"/>
        </w:rPr>
        <w:t xml:space="preserve"> and </w:t>
      </w:r>
      <w:r w:rsidR="00432594" w:rsidRPr="00432594">
        <w:rPr>
          <w:lang w:eastAsia="en-GB"/>
        </w:rPr>
        <w:t>links to relevant CLEAPSS Hazcards and recipe sheets</w:t>
      </w:r>
      <w:r>
        <w:rPr>
          <w:lang w:eastAsia="en-GB"/>
        </w:rPr>
        <w:t xml:space="preserve">, are </w:t>
      </w:r>
      <w:r w:rsidR="001D0152">
        <w:rPr>
          <w:lang w:eastAsia="en-GB"/>
        </w:rPr>
        <w:t xml:space="preserve">available </w:t>
      </w:r>
      <w:r>
        <w:rPr>
          <w:lang w:eastAsia="en-GB"/>
        </w:rPr>
        <w:t xml:space="preserve">to download from: </w:t>
      </w:r>
      <w:hyperlink r:id="rId12" w:history="1">
        <w:r w:rsidR="006A66CA" w:rsidRPr="00F51928">
          <w:rPr>
            <w:rStyle w:val="Hyperlink"/>
          </w:rPr>
          <w:t>rsc.li/3NHeVNY</w:t>
        </w:r>
      </w:hyperlink>
      <w:r w:rsidR="006A66CA">
        <w:t xml:space="preserve"> </w:t>
      </w:r>
    </w:p>
    <w:p w14:paraId="44C476D0" w14:textId="150605CD" w:rsidR="00432594" w:rsidRPr="00432594" w:rsidRDefault="00432594" w:rsidP="002A3C79">
      <w:pPr>
        <w:pStyle w:val="RSCBasictext"/>
        <w:rPr>
          <w:rStyle w:val="Hyperlink"/>
          <w:color w:val="auto"/>
          <w:u w:val="none"/>
          <w:lang w:eastAsia="en-GB"/>
        </w:rPr>
      </w:pPr>
      <w:r w:rsidRPr="00FF2EBD">
        <w:rPr>
          <w:lang w:eastAsia="en-GB"/>
        </w:rPr>
        <w:t xml:space="preserve">Read our standard health and safety guidance, available from </w:t>
      </w:r>
      <w:hyperlink r:id="rId13" w:history="1">
        <w:r w:rsidRPr="00F51928">
          <w:rPr>
            <w:rStyle w:val="Hyperlink"/>
          </w:rPr>
          <w:t>rsc.li/4enTwV3</w:t>
        </w:r>
      </w:hyperlink>
      <w:r>
        <w:t xml:space="preserve"> </w:t>
      </w:r>
      <w:r w:rsidRPr="00FF2EBD">
        <w:rPr>
          <w:lang w:eastAsia="en-GB"/>
        </w:rPr>
        <w:t>and carry out a risk assessment before running any live practical.</w:t>
      </w:r>
    </w:p>
    <w:p w14:paraId="5548B6F5" w14:textId="77777777" w:rsidR="00170732" w:rsidRDefault="00170732" w:rsidP="00170732">
      <w:pPr>
        <w:pStyle w:val="RSCH3"/>
        <w:rPr>
          <w:lang w:eastAsia="en-GB"/>
        </w:rPr>
      </w:pPr>
      <w:r>
        <w:rPr>
          <w:lang w:eastAsia="en-GB"/>
        </w:rPr>
        <w:t>Equipment</w:t>
      </w:r>
    </w:p>
    <w:p w14:paraId="1568CA27" w14:textId="74343C86" w:rsidR="00FF2EBD" w:rsidRDefault="00FF2EBD" w:rsidP="00FF2EBD">
      <w:pPr>
        <w:pStyle w:val="RSCBasictext"/>
        <w:rPr>
          <w:lang w:eastAsia="en-GB"/>
        </w:rPr>
      </w:pPr>
      <w:r>
        <w:rPr>
          <w:lang w:eastAsia="en-GB"/>
        </w:rPr>
        <w:t>Per person</w:t>
      </w:r>
      <w:r w:rsidR="00802956">
        <w:rPr>
          <w:lang w:eastAsia="en-GB"/>
        </w:rPr>
        <w:t>:</w:t>
      </w:r>
    </w:p>
    <w:p w14:paraId="06D9F9E6" w14:textId="77777777" w:rsidR="00461E1D" w:rsidRDefault="00461E1D" w:rsidP="00461E1D">
      <w:pPr>
        <w:pStyle w:val="RSCBulletedlist"/>
        <w:rPr>
          <w:lang w:eastAsia="en-GB"/>
        </w:rPr>
      </w:pPr>
      <w:r w:rsidRPr="00EF11C1">
        <w:t xml:space="preserve">Eye protection: safety glasses to EN166 </w:t>
      </w:r>
      <w:r>
        <w:t xml:space="preserve">F </w:t>
      </w:r>
      <w:r w:rsidRPr="007174E1">
        <w:t>or (EN) ISO 16321 C</w:t>
      </w:r>
      <w:r>
        <w:t>.</w:t>
      </w:r>
    </w:p>
    <w:p w14:paraId="1DF607BD" w14:textId="7B055D90" w:rsidR="00FF2EBD" w:rsidRDefault="00FF2EBD" w:rsidP="00FF2EBD">
      <w:pPr>
        <w:pStyle w:val="RSCBulletedlist"/>
        <w:numPr>
          <w:ilvl w:val="0"/>
          <w:numId w:val="0"/>
        </w:numPr>
        <w:rPr>
          <w:lang w:eastAsia="en-GB"/>
        </w:rPr>
      </w:pPr>
      <w:r>
        <w:rPr>
          <w:lang w:eastAsia="en-GB"/>
        </w:rPr>
        <w:t>Per group</w:t>
      </w:r>
      <w:r w:rsidR="00802956">
        <w:rPr>
          <w:lang w:eastAsia="en-GB"/>
        </w:rPr>
        <w:t>:</w:t>
      </w:r>
    </w:p>
    <w:p w14:paraId="48C96632" w14:textId="2D7E93A7" w:rsidR="00170732" w:rsidRDefault="00FF2EBD" w:rsidP="00170732">
      <w:pPr>
        <w:pStyle w:val="RSCBulletedlist"/>
        <w:rPr>
          <w:lang w:eastAsia="en-GB"/>
        </w:rPr>
      </w:pPr>
      <w:r>
        <w:rPr>
          <w:lang w:eastAsia="en-GB"/>
        </w:rPr>
        <w:t>Burette, 30 cm</w:t>
      </w:r>
      <w:r w:rsidRPr="00C2036D">
        <w:rPr>
          <w:vertAlign w:val="superscript"/>
          <w:lang w:eastAsia="en-GB"/>
        </w:rPr>
        <w:t>3</w:t>
      </w:r>
      <w:r>
        <w:rPr>
          <w:lang w:eastAsia="en-GB"/>
        </w:rPr>
        <w:t xml:space="preserve"> or 50 cm</w:t>
      </w:r>
      <w:r w:rsidRPr="00C2036D">
        <w:rPr>
          <w:vertAlign w:val="superscript"/>
          <w:lang w:eastAsia="en-GB"/>
        </w:rPr>
        <w:t>3</w:t>
      </w:r>
      <w:r>
        <w:rPr>
          <w:lang w:eastAsia="en-GB"/>
        </w:rPr>
        <w:t xml:space="preserve"> capacity</w:t>
      </w:r>
    </w:p>
    <w:p w14:paraId="3DACAF87" w14:textId="6185E431" w:rsidR="00FF2EBD" w:rsidRPr="00745329" w:rsidRDefault="00FF2EBD" w:rsidP="00170732">
      <w:pPr>
        <w:pStyle w:val="RSCBulletedlist"/>
        <w:rPr>
          <w:lang w:eastAsia="en-GB"/>
        </w:rPr>
      </w:pPr>
      <w:r>
        <w:rPr>
          <w:lang w:eastAsia="en-GB"/>
        </w:rPr>
        <w:t>Conical flask, 100 cm</w:t>
      </w:r>
      <w:r w:rsidRPr="00C2036D">
        <w:rPr>
          <w:vertAlign w:val="superscript"/>
          <w:lang w:eastAsia="en-GB"/>
        </w:rPr>
        <w:t>3</w:t>
      </w:r>
    </w:p>
    <w:p w14:paraId="287738A3" w14:textId="0ADDFCFB" w:rsidR="000E7F1D" w:rsidRDefault="000E7F1D" w:rsidP="000E7F1D">
      <w:pPr>
        <w:pStyle w:val="RSCBulletedlist"/>
        <w:rPr>
          <w:lang w:eastAsia="en-GB"/>
        </w:rPr>
      </w:pPr>
      <w:r>
        <w:rPr>
          <w:lang w:eastAsia="en-GB"/>
        </w:rPr>
        <w:t>Beaker, 100 cm</w:t>
      </w:r>
      <w:r>
        <w:rPr>
          <w:vertAlign w:val="superscript"/>
          <w:lang w:eastAsia="en-GB"/>
        </w:rPr>
        <w:t>3</w:t>
      </w:r>
    </w:p>
    <w:p w14:paraId="793DAA59" w14:textId="054209B5" w:rsidR="00FF2EBD" w:rsidRDefault="00FF2EBD" w:rsidP="00170732">
      <w:pPr>
        <w:pStyle w:val="RSCBulletedlist"/>
        <w:rPr>
          <w:lang w:eastAsia="en-GB"/>
        </w:rPr>
      </w:pPr>
      <w:r>
        <w:rPr>
          <w:lang w:eastAsia="en-GB"/>
        </w:rPr>
        <w:t>Pestle and mortar</w:t>
      </w:r>
    </w:p>
    <w:p w14:paraId="787796F5" w14:textId="1635E081" w:rsidR="00FF2EBD" w:rsidRDefault="00FF2EBD" w:rsidP="00170732">
      <w:pPr>
        <w:pStyle w:val="RSCBulletedlist"/>
        <w:rPr>
          <w:lang w:eastAsia="en-GB"/>
        </w:rPr>
      </w:pPr>
      <w:r>
        <w:rPr>
          <w:lang w:eastAsia="en-GB"/>
        </w:rPr>
        <w:t>Stirring rod</w:t>
      </w:r>
    </w:p>
    <w:p w14:paraId="0DB0ADBF" w14:textId="6A43BD9B" w:rsidR="00FF2EBD" w:rsidRDefault="00FF2EBD" w:rsidP="00170732">
      <w:pPr>
        <w:pStyle w:val="RSCBulletedlist"/>
        <w:rPr>
          <w:lang w:eastAsia="en-GB"/>
        </w:rPr>
      </w:pPr>
      <w:r>
        <w:rPr>
          <w:lang w:eastAsia="en-GB"/>
        </w:rPr>
        <w:t>Spatula</w:t>
      </w:r>
    </w:p>
    <w:p w14:paraId="4B64985C" w14:textId="66E938D7" w:rsidR="00FF2EBD" w:rsidRDefault="00FF2EBD" w:rsidP="00170732">
      <w:pPr>
        <w:pStyle w:val="RSCBulletedlist"/>
        <w:rPr>
          <w:lang w:eastAsia="en-GB"/>
        </w:rPr>
      </w:pPr>
      <w:r>
        <w:rPr>
          <w:lang w:eastAsia="en-GB"/>
        </w:rPr>
        <w:t>Filter funnel, small (about 35 mm diameter)</w:t>
      </w:r>
    </w:p>
    <w:p w14:paraId="730BE6B9" w14:textId="72053E73" w:rsidR="00FF2EBD" w:rsidRDefault="00FF2EBD" w:rsidP="00170732">
      <w:pPr>
        <w:pStyle w:val="RSCBulletedlist"/>
        <w:rPr>
          <w:lang w:eastAsia="en-GB"/>
        </w:rPr>
      </w:pPr>
      <w:r>
        <w:rPr>
          <w:lang w:eastAsia="en-GB"/>
        </w:rPr>
        <w:t>White tile (optional)</w:t>
      </w:r>
    </w:p>
    <w:p w14:paraId="56A2BE4F" w14:textId="0727DD95" w:rsidR="001940E9" w:rsidRPr="00432594" w:rsidRDefault="00FF2EBD" w:rsidP="00432594">
      <w:pPr>
        <w:pStyle w:val="RSCBulletedlist"/>
        <w:rPr>
          <w:lang w:eastAsia="en-GB"/>
        </w:rPr>
      </w:pPr>
      <w:r>
        <w:rPr>
          <w:lang w:eastAsia="en-GB"/>
        </w:rPr>
        <w:t>Burette stand and clamp</w:t>
      </w:r>
    </w:p>
    <w:p w14:paraId="71627775" w14:textId="3A046BA7" w:rsidR="00170732" w:rsidRDefault="00FF2EBD" w:rsidP="00170732">
      <w:pPr>
        <w:pStyle w:val="RSCH3"/>
        <w:rPr>
          <w:lang w:eastAsia="en-GB"/>
        </w:rPr>
      </w:pPr>
      <w:r>
        <w:rPr>
          <w:lang w:eastAsia="en-GB"/>
        </w:rPr>
        <w:lastRenderedPageBreak/>
        <w:t>Chemicals</w:t>
      </w:r>
    </w:p>
    <w:p w14:paraId="5E057853" w14:textId="77777777" w:rsidR="00461E1D" w:rsidRDefault="00461E1D" w:rsidP="002A3C79">
      <w:pPr>
        <w:pStyle w:val="RSCBulletedlist"/>
        <w:rPr>
          <w:lang w:eastAsia="en-GB"/>
        </w:rPr>
      </w:pPr>
      <w:r>
        <w:rPr>
          <w:lang w:eastAsia="en-GB"/>
        </w:rPr>
        <w:t>Dilute hydrochloric acid, concentration equal to or below 0.4 mol dm</w:t>
      </w:r>
      <w:r w:rsidRPr="004B4D9C">
        <w:rPr>
          <w:vertAlign w:val="superscript"/>
          <w:lang w:eastAsia="en-GB"/>
        </w:rPr>
        <w:t>-3</w:t>
      </w:r>
      <w:r>
        <w:rPr>
          <w:lang w:eastAsia="en-GB"/>
        </w:rPr>
        <w:t>, 100 cm</w:t>
      </w:r>
      <w:r w:rsidRPr="00745248">
        <w:rPr>
          <w:vertAlign w:val="superscript"/>
          <w:lang w:eastAsia="en-GB"/>
        </w:rPr>
        <w:t>3</w:t>
      </w:r>
      <w:r>
        <w:rPr>
          <w:lang w:eastAsia="en-GB"/>
        </w:rPr>
        <w:t>.</w:t>
      </w:r>
    </w:p>
    <w:p w14:paraId="16861E44" w14:textId="6C2968CF" w:rsidR="00FF2EBD" w:rsidRDefault="00FF2EBD" w:rsidP="002A3C79">
      <w:pPr>
        <w:pStyle w:val="RSCBulletedlist"/>
        <w:rPr>
          <w:lang w:eastAsia="en-GB"/>
        </w:rPr>
      </w:pPr>
      <w:r>
        <w:rPr>
          <w:lang w:eastAsia="en-GB"/>
        </w:rPr>
        <w:t xml:space="preserve">Two </w:t>
      </w:r>
      <w:r w:rsidR="00A56DBB">
        <w:rPr>
          <w:lang w:eastAsia="en-GB"/>
        </w:rPr>
        <w:t xml:space="preserve">or three </w:t>
      </w:r>
      <w:r>
        <w:rPr>
          <w:lang w:eastAsia="en-GB"/>
        </w:rPr>
        <w:t>different indigestion tablets</w:t>
      </w:r>
      <w:r w:rsidR="00A56DBB">
        <w:rPr>
          <w:lang w:eastAsia="en-GB"/>
        </w:rPr>
        <w:t>, ideally the ‘chalky’ type</w:t>
      </w:r>
      <w:r>
        <w:rPr>
          <w:lang w:eastAsia="en-GB"/>
        </w:rPr>
        <w:t xml:space="preserve"> </w:t>
      </w:r>
    </w:p>
    <w:p w14:paraId="3B25207A" w14:textId="74811B40" w:rsidR="00FF2EBD" w:rsidRDefault="00FF2EBD" w:rsidP="002A3C79">
      <w:pPr>
        <w:pStyle w:val="RSCBulletedlist"/>
        <w:rPr>
          <w:lang w:eastAsia="en-GB"/>
        </w:rPr>
      </w:pPr>
      <w:r>
        <w:rPr>
          <w:lang w:eastAsia="en-GB"/>
        </w:rPr>
        <w:t>Original packets from which the tablets are taken, together with price information for each packet</w:t>
      </w:r>
    </w:p>
    <w:p w14:paraId="3CF0378B" w14:textId="211EAAE2" w:rsidR="00FF2EBD" w:rsidRDefault="00FF2EBD" w:rsidP="00A90184">
      <w:pPr>
        <w:pStyle w:val="RSCBulletedlist"/>
        <w:rPr>
          <w:lang w:eastAsia="en-GB"/>
        </w:rPr>
      </w:pPr>
      <w:r>
        <w:rPr>
          <w:lang w:eastAsia="en-GB"/>
        </w:rPr>
        <w:t xml:space="preserve">Methyl orange indicator solution (or alternative) </w:t>
      </w:r>
      <w:r w:rsidR="00461E1D" w:rsidRPr="00461E1D">
        <w:rPr>
          <w:b/>
          <w:bCs/>
          <w:lang w:eastAsia="en-GB"/>
        </w:rPr>
        <w:t>D</w:t>
      </w:r>
      <w:r w:rsidR="00461E1D">
        <w:rPr>
          <w:b/>
          <w:bCs/>
          <w:lang w:eastAsia="en-GB"/>
        </w:rPr>
        <w:t>ANGER</w:t>
      </w:r>
      <w:r w:rsidR="00461E1D" w:rsidRPr="00461E1D">
        <w:rPr>
          <w:b/>
          <w:bCs/>
          <w:lang w:eastAsia="en-GB"/>
        </w:rPr>
        <w:t>:</w:t>
      </w:r>
      <w:r w:rsidR="00461E1D">
        <w:rPr>
          <w:lang w:eastAsia="en-GB"/>
        </w:rPr>
        <w:t xml:space="preserve"> </w:t>
      </w:r>
      <w:r w:rsidR="00461E1D">
        <w:rPr>
          <w:lang w:eastAsia="en-GB"/>
        </w:rPr>
        <w:t>Harmful if swallowed. May cause damage to organs.</w:t>
      </w:r>
      <w:r w:rsidR="00461E1D">
        <w:rPr>
          <w:lang w:eastAsia="en-GB"/>
        </w:rPr>
        <w:t xml:space="preserve"> Highly flammable liquid and vapour.</w:t>
      </w:r>
    </w:p>
    <w:p w14:paraId="4BC05180" w14:textId="1D7ED057" w:rsidR="00FF2EBD" w:rsidRDefault="00FF2EBD" w:rsidP="002A3C79">
      <w:pPr>
        <w:pStyle w:val="RSCBulletedlist"/>
        <w:rPr>
          <w:lang w:eastAsia="en-GB"/>
        </w:rPr>
      </w:pPr>
      <w:r>
        <w:rPr>
          <w:lang w:eastAsia="en-GB"/>
        </w:rPr>
        <w:t>Deionised or distilled water, about 100</w:t>
      </w:r>
      <w:r w:rsidR="005E0DEB">
        <w:rPr>
          <w:lang w:eastAsia="en-GB"/>
        </w:rPr>
        <w:t xml:space="preserve"> </w:t>
      </w:r>
      <w:r>
        <w:rPr>
          <w:lang w:eastAsia="en-GB"/>
        </w:rPr>
        <w:t>cm</w:t>
      </w:r>
      <w:r w:rsidRPr="00C2036D">
        <w:rPr>
          <w:vertAlign w:val="superscript"/>
          <w:lang w:eastAsia="en-GB"/>
        </w:rPr>
        <w:t>3</w:t>
      </w:r>
    </w:p>
    <w:p w14:paraId="0C14E0BD" w14:textId="6C4AC6BA" w:rsidR="00170732" w:rsidRDefault="00170732" w:rsidP="00170732">
      <w:pPr>
        <w:pStyle w:val="RSCH2"/>
        <w:rPr>
          <w:lang w:eastAsia="en-GB"/>
        </w:rPr>
      </w:pPr>
      <w:r>
        <w:rPr>
          <w:lang w:eastAsia="en-GB"/>
        </w:rPr>
        <w:t>Answers</w:t>
      </w:r>
    </w:p>
    <w:p w14:paraId="0D176D02" w14:textId="49B6F5C9" w:rsidR="00745329" w:rsidRDefault="00745329" w:rsidP="00745329">
      <w:pPr>
        <w:pStyle w:val="RSCH3"/>
        <w:rPr>
          <w:lang w:eastAsia="en-GB"/>
        </w:rPr>
      </w:pPr>
      <w:r>
        <w:rPr>
          <w:lang w:eastAsia="en-GB"/>
        </w:rPr>
        <w:t>Procedur</w:t>
      </w:r>
      <w:r w:rsidR="009B61EE">
        <w:rPr>
          <w:lang w:eastAsia="en-GB"/>
        </w:rPr>
        <w:t>e</w:t>
      </w:r>
      <w:r>
        <w:rPr>
          <w:lang w:eastAsia="en-GB"/>
        </w:rPr>
        <w:t xml:space="preserve"> questions</w:t>
      </w:r>
    </w:p>
    <w:p w14:paraId="3D6E42CF" w14:textId="77777777" w:rsidR="00E96850" w:rsidRDefault="00170732" w:rsidP="00702BA5">
      <w:pPr>
        <w:pStyle w:val="RSCnumberedlist"/>
        <w:rPr>
          <w:lang w:eastAsia="en-GB"/>
        </w:rPr>
      </w:pPr>
      <w:r>
        <w:rPr>
          <w:lang w:eastAsia="en-GB"/>
        </w:rPr>
        <w:tab/>
      </w:r>
    </w:p>
    <w:p w14:paraId="64E55D7B" w14:textId="5556B38D" w:rsidR="00170732" w:rsidRDefault="00EA557D" w:rsidP="00E96850">
      <w:pPr>
        <w:pStyle w:val="RSCletteredlist"/>
        <w:rPr>
          <w:lang w:eastAsia="en-GB"/>
        </w:rPr>
      </w:pPr>
      <w:r>
        <w:rPr>
          <w:lang w:eastAsia="en-GB"/>
        </w:rPr>
        <w:t>This analysis is the whole tablet</w:t>
      </w:r>
      <w:r w:rsidR="00A555CF">
        <w:rPr>
          <w:lang w:eastAsia="en-GB"/>
        </w:rPr>
        <w:t>;</w:t>
      </w:r>
      <w:r>
        <w:rPr>
          <w:lang w:eastAsia="en-GB"/>
        </w:rPr>
        <w:t xml:space="preserve"> the addition of more or less water does not change the </w:t>
      </w:r>
      <w:r w:rsidR="008A7F7F">
        <w:rPr>
          <w:lang w:eastAsia="en-GB"/>
        </w:rPr>
        <w:t xml:space="preserve">amount of active reactant. </w:t>
      </w:r>
    </w:p>
    <w:p w14:paraId="5CF6A828" w14:textId="6EA58F47" w:rsidR="00F33C21" w:rsidRDefault="00170732" w:rsidP="00E96850">
      <w:pPr>
        <w:pStyle w:val="RSCletteredlist"/>
        <w:rPr>
          <w:lang w:eastAsia="en-GB"/>
        </w:rPr>
      </w:pPr>
      <w:r>
        <w:rPr>
          <w:lang w:eastAsia="en-GB"/>
        </w:rPr>
        <w:tab/>
      </w:r>
      <w:r w:rsidR="00B52FF1">
        <w:rPr>
          <w:lang w:eastAsia="en-GB"/>
        </w:rPr>
        <w:t xml:space="preserve">Indicators are themselves weak acids or bases so too much </w:t>
      </w:r>
      <w:r w:rsidR="00D32A06">
        <w:rPr>
          <w:lang w:eastAsia="en-GB"/>
        </w:rPr>
        <w:t xml:space="preserve">could affect the final result. </w:t>
      </w:r>
    </w:p>
    <w:p w14:paraId="365D007D" w14:textId="232F76FA" w:rsidR="00EF2030" w:rsidRDefault="00F33C21" w:rsidP="00170732">
      <w:pPr>
        <w:pStyle w:val="RSCnumberedlist"/>
        <w:rPr>
          <w:lang w:eastAsia="en-GB"/>
        </w:rPr>
      </w:pPr>
      <w:r>
        <w:rPr>
          <w:lang w:eastAsia="en-GB"/>
        </w:rPr>
        <w:t>The funnel is removed to prevent drops of reagent dropping into the burette during the titration</w:t>
      </w:r>
      <w:r w:rsidR="001436EC">
        <w:rPr>
          <w:lang w:eastAsia="en-GB"/>
        </w:rPr>
        <w:t xml:space="preserve"> causing a change in the measured volume.</w:t>
      </w:r>
    </w:p>
    <w:p w14:paraId="5A607009" w14:textId="2C30DFA4" w:rsidR="00745329" w:rsidRDefault="00EF2030" w:rsidP="00745329">
      <w:pPr>
        <w:pStyle w:val="RSCnumberedlist"/>
        <w:rPr>
          <w:lang w:eastAsia="en-GB"/>
        </w:rPr>
      </w:pPr>
      <w:r>
        <w:rPr>
          <w:lang w:eastAsia="en-GB"/>
        </w:rPr>
        <w:t xml:space="preserve">Adding water to the conical flask does not change the amount (in moles) of </w:t>
      </w:r>
      <w:r w:rsidR="00CC2BDF">
        <w:rPr>
          <w:lang w:eastAsia="en-GB"/>
        </w:rPr>
        <w:t>reagent</w:t>
      </w:r>
      <w:r w:rsidR="00400F77">
        <w:rPr>
          <w:lang w:eastAsia="en-GB"/>
        </w:rPr>
        <w:t xml:space="preserve">, therefore </w:t>
      </w:r>
      <w:r w:rsidR="009228AE">
        <w:rPr>
          <w:lang w:eastAsia="en-GB"/>
        </w:rPr>
        <w:t xml:space="preserve">the result is not affected. </w:t>
      </w:r>
    </w:p>
    <w:p w14:paraId="0998D5B8" w14:textId="16BA951D" w:rsidR="00745329" w:rsidRDefault="00EA0599" w:rsidP="00EA0599">
      <w:pPr>
        <w:pStyle w:val="RSCnumberedlist"/>
        <w:rPr>
          <w:lang w:eastAsia="en-GB"/>
        </w:rPr>
      </w:pPr>
      <w:r>
        <w:rPr>
          <w:lang w:eastAsia="en-GB"/>
        </w:rPr>
        <w:t xml:space="preserve">The amount of acid that is neutralised by the tablet is calculated by taking the initial reading away from the final reading of the burette. The difference between the readings is not affected by whether the initial reading was </w:t>
      </w:r>
      <w:r w:rsidRPr="00851ECD">
        <w:t>0.00 cm</w:t>
      </w:r>
      <w:r w:rsidRPr="00616842">
        <w:rPr>
          <w:vertAlign w:val="superscript"/>
        </w:rPr>
        <w:t>3</w:t>
      </w:r>
      <w:r>
        <w:rPr>
          <w:vertAlign w:val="superscript"/>
        </w:rPr>
        <w:t xml:space="preserve"> </w:t>
      </w:r>
      <w:r>
        <w:rPr>
          <w:lang w:eastAsia="en-GB"/>
        </w:rPr>
        <w:t>or another value.</w:t>
      </w:r>
    </w:p>
    <w:p w14:paraId="5C92CF27" w14:textId="6BF7B91B" w:rsidR="00745329" w:rsidRDefault="00745329" w:rsidP="00745329">
      <w:pPr>
        <w:pStyle w:val="RSCH3"/>
        <w:rPr>
          <w:lang w:eastAsia="en-GB"/>
        </w:rPr>
      </w:pPr>
      <w:r>
        <w:rPr>
          <w:lang w:eastAsia="en-GB"/>
        </w:rPr>
        <w:t>Analy</w:t>
      </w:r>
      <w:r w:rsidR="009B61EE">
        <w:rPr>
          <w:lang w:eastAsia="en-GB"/>
        </w:rPr>
        <w:t>sis</w:t>
      </w:r>
      <w:r>
        <w:rPr>
          <w:lang w:eastAsia="en-GB"/>
        </w:rPr>
        <w:t xml:space="preserve"> questions</w:t>
      </w:r>
    </w:p>
    <w:p w14:paraId="2D65BA77" w14:textId="5D13C128" w:rsidR="00713188" w:rsidRDefault="00713188" w:rsidP="00713188">
      <w:pPr>
        <w:pStyle w:val="RSCnumberedlist"/>
        <w:rPr>
          <w:lang w:eastAsia="en-GB"/>
        </w:rPr>
      </w:pPr>
      <w:r>
        <w:rPr>
          <w:lang w:eastAsia="en-GB"/>
        </w:rPr>
        <w:t>The tablet of the same brand is used to standardise the results for the whole class. As differences in technique may occur between the groups, comparison with the same tablet will help to identify anomalies and allow for qualitative comparisons between the different brands of tablets</w:t>
      </w:r>
      <w:r w:rsidR="001E7283">
        <w:rPr>
          <w:lang w:eastAsia="en-GB"/>
        </w:rPr>
        <w:t xml:space="preserve"> tested by different groups</w:t>
      </w:r>
      <w:r>
        <w:rPr>
          <w:lang w:eastAsia="en-GB"/>
        </w:rPr>
        <w:t xml:space="preserve">. </w:t>
      </w:r>
    </w:p>
    <w:p w14:paraId="3123F259" w14:textId="6FD08406" w:rsidR="00745329" w:rsidRDefault="00745329" w:rsidP="00713188">
      <w:pPr>
        <w:pStyle w:val="RSCnumberedlist"/>
        <w:spacing w:after="0"/>
        <w:rPr>
          <w:lang w:eastAsia="en-GB"/>
        </w:rPr>
      </w:pPr>
      <w:r>
        <w:rPr>
          <w:lang w:eastAsia="en-GB"/>
        </w:rPr>
        <w:t>Answers will vary depending on the brands used. Examples may be of the format:</w:t>
      </w:r>
    </w:p>
    <w:p w14:paraId="0A71621C" w14:textId="275776A7" w:rsidR="00745329" w:rsidRDefault="00745329" w:rsidP="00713188">
      <w:pPr>
        <w:pStyle w:val="RSCBulletedlist"/>
        <w:spacing w:after="0"/>
        <w:ind w:left="426" w:hanging="284"/>
        <w:rPr>
          <w:lang w:eastAsia="en-GB"/>
        </w:rPr>
      </w:pPr>
      <w:r>
        <w:rPr>
          <w:lang w:eastAsia="en-GB"/>
        </w:rPr>
        <w:t xml:space="preserve">[metal] carbonate + hydrochloric acid </w:t>
      </w:r>
      <m:oMath>
        <m:r>
          <m:rPr>
            <m:sty m:val="p"/>
          </m:rPr>
          <w:rPr>
            <w:rFonts w:ascii="Cambria Math" w:hAnsi="Cambria Math"/>
            <w:lang w:eastAsia="en-GB"/>
          </w:rPr>
          <m:t>→</m:t>
        </m:r>
      </m:oMath>
      <w:r>
        <w:rPr>
          <w:lang w:eastAsia="en-GB"/>
        </w:rPr>
        <w:t xml:space="preserve"> [metal] chloride + carbon dioxide + water</w:t>
      </w:r>
    </w:p>
    <w:p w14:paraId="7E12DDBE" w14:textId="2FD8D655" w:rsidR="00745329" w:rsidRPr="00EA0599" w:rsidRDefault="00745329" w:rsidP="00713188">
      <w:pPr>
        <w:pStyle w:val="RSCBulletedlist"/>
        <w:spacing w:after="0"/>
        <w:ind w:left="426" w:hanging="284"/>
        <w:rPr>
          <w:lang w:eastAsia="en-GB"/>
        </w:rPr>
      </w:pPr>
      <w:r>
        <w:rPr>
          <w:lang w:eastAsia="en-GB"/>
        </w:rPr>
        <w:t xml:space="preserve">[metal] hydroxide + hydrochloric acid </w:t>
      </w:r>
      <m:oMath>
        <m:r>
          <m:rPr>
            <m:sty m:val="p"/>
          </m:rPr>
          <w:rPr>
            <w:rFonts w:ascii="Cambria Math" w:hAnsi="Cambria Math"/>
            <w:lang w:eastAsia="en-GB"/>
          </w:rPr>
          <m:t>→</m:t>
        </m:r>
      </m:oMath>
      <w:r>
        <w:rPr>
          <w:rFonts w:eastAsiaTheme="minorEastAsia"/>
          <w:lang w:eastAsia="en-GB"/>
        </w:rPr>
        <w:t xml:space="preserve"> [metal] chloride + water</w:t>
      </w:r>
    </w:p>
    <w:p w14:paraId="67EC8654" w14:textId="77777777" w:rsidR="00EA0599" w:rsidRDefault="00EA0599" w:rsidP="00EA0599">
      <w:pPr>
        <w:pStyle w:val="RSCnumberedlist"/>
        <w:rPr>
          <w:lang w:eastAsia="en-GB"/>
        </w:rPr>
      </w:pPr>
      <w:r>
        <w:rPr>
          <w:lang w:eastAsia="en-GB"/>
        </w:rPr>
        <w:t>Equations</w:t>
      </w:r>
    </w:p>
    <w:p w14:paraId="77EA3A13" w14:textId="77777777" w:rsidR="00EA0599" w:rsidRDefault="009B61EE" w:rsidP="00713188">
      <w:pPr>
        <w:pStyle w:val="RSCletteredlist"/>
        <w:numPr>
          <w:ilvl w:val="0"/>
          <w:numId w:val="25"/>
        </w:numPr>
        <w:rPr>
          <w:lang w:eastAsia="en-GB"/>
        </w:rPr>
      </w:pPr>
      <m:oMath>
        <m:sSub>
          <m:sSubPr>
            <m:ctrlPr>
              <w:rPr>
                <w:rFonts w:ascii="Cambria Math" w:hAnsi="Cambria Math"/>
                <w:i/>
                <w:lang w:eastAsia="en-GB"/>
              </w:rPr>
            </m:ctrlPr>
          </m:sSubPr>
          <m:e>
            <m:r>
              <m:rPr>
                <m:sty m:val="p"/>
              </m:rPr>
              <w:rPr>
                <w:rFonts w:ascii="Cambria Math" w:hAnsi="Cambria Math"/>
                <w:lang w:eastAsia="en-GB"/>
              </w:rPr>
              <m:t>MgCO</m:t>
            </m:r>
          </m:e>
          <m:sub>
            <m:r>
              <w:rPr>
                <w:rFonts w:ascii="Cambria Math" w:hAnsi="Cambria Math"/>
                <w:lang w:eastAsia="en-GB"/>
              </w:rPr>
              <m:t>3</m:t>
            </m:r>
          </m:sub>
        </m:sSub>
        <m:r>
          <m:rPr>
            <m:sty m:val="p"/>
          </m:rPr>
          <w:rPr>
            <w:rFonts w:ascii="Cambria Math" w:hAnsi="Cambria Math"/>
            <w:lang w:eastAsia="en-GB"/>
          </w:rPr>
          <m:t>+2HCl →Mg</m:t>
        </m:r>
        <m:sSub>
          <m:sSubPr>
            <m:ctrlPr>
              <w:rPr>
                <w:rFonts w:ascii="Cambria Math" w:hAnsi="Cambria Math"/>
                <w:iCs/>
                <w:lang w:eastAsia="en-GB"/>
              </w:rPr>
            </m:ctrlPr>
          </m:sSubPr>
          <m:e>
            <m:r>
              <m:rPr>
                <m:sty m:val="p"/>
              </m:rPr>
              <w:rPr>
                <w:rFonts w:ascii="Cambria Math" w:hAnsi="Cambria Math"/>
                <w:lang w:eastAsia="en-GB"/>
              </w:rPr>
              <m:t>Cl</m:t>
            </m:r>
          </m:e>
          <m:sub>
            <m:r>
              <m:rPr>
                <m:sty m:val="p"/>
              </m:rPr>
              <w:rPr>
                <w:rFonts w:ascii="Cambria Math" w:hAnsi="Cambria Math"/>
                <w:lang w:eastAsia="en-GB"/>
              </w:rPr>
              <m:t>2</m:t>
            </m:r>
          </m:sub>
        </m:sSub>
        <m:r>
          <m:rPr>
            <m:sty m:val="p"/>
          </m:rPr>
          <w:rPr>
            <w:rFonts w:ascii="Cambria Math" w:hAnsi="Cambria Math"/>
            <w:lang w:eastAsia="en-GB"/>
          </w:rPr>
          <m:t xml:space="preserve">+ </m:t>
        </m:r>
        <m:sSub>
          <m:sSubPr>
            <m:ctrlPr>
              <w:rPr>
                <w:rFonts w:ascii="Cambria Math" w:hAnsi="Cambria Math"/>
                <w:iCs/>
                <w:lang w:eastAsia="en-GB"/>
              </w:rPr>
            </m:ctrlPr>
          </m:sSubPr>
          <m:e>
            <m:r>
              <m:rPr>
                <m:sty m:val="p"/>
              </m:rPr>
              <w:rPr>
                <w:rFonts w:ascii="Cambria Math" w:hAnsi="Cambria Math"/>
                <w:lang w:eastAsia="en-GB"/>
              </w:rPr>
              <m:t>H</m:t>
            </m:r>
          </m:e>
          <m:sub>
            <m:r>
              <m:rPr>
                <m:sty m:val="p"/>
              </m:rPr>
              <w:rPr>
                <w:rFonts w:ascii="Cambria Math" w:hAnsi="Cambria Math"/>
                <w:lang w:eastAsia="en-GB"/>
              </w:rPr>
              <m:t>2</m:t>
            </m:r>
          </m:sub>
        </m:sSub>
        <m:r>
          <m:rPr>
            <m:sty m:val="p"/>
          </m:rPr>
          <w:rPr>
            <w:rFonts w:ascii="Cambria Math" w:hAnsi="Cambria Math"/>
            <w:lang w:eastAsia="en-GB"/>
          </w:rPr>
          <m:t>O+C</m:t>
        </m:r>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2</m:t>
            </m:r>
          </m:sub>
        </m:sSub>
      </m:oMath>
    </w:p>
    <w:p w14:paraId="6FC2EAE1" w14:textId="77777777" w:rsidR="00EA0599" w:rsidRDefault="00EA0599" w:rsidP="00EA0599">
      <w:pPr>
        <w:pStyle w:val="RSCletteredlist"/>
        <w:rPr>
          <w:lang w:eastAsia="en-GB"/>
        </w:rPr>
      </w:pPr>
      <m:oMath>
        <m:r>
          <m:rPr>
            <m:sty m:val="p"/>
          </m:rPr>
          <w:rPr>
            <w:rFonts w:ascii="Cambria Math" w:hAnsi="Cambria Math"/>
            <w:lang w:eastAsia="en-GB"/>
          </w:rPr>
          <m:t>Mg</m:t>
        </m:r>
        <m:sSub>
          <m:sSubPr>
            <m:ctrlPr>
              <w:rPr>
                <w:rFonts w:ascii="Cambria Math" w:hAnsi="Cambria Math"/>
                <w:iCs/>
                <w:lang w:eastAsia="en-GB"/>
              </w:rPr>
            </m:ctrlPr>
          </m:sSubPr>
          <m:e>
            <m:r>
              <m:rPr>
                <m:sty m:val="p"/>
              </m:rPr>
              <w:rPr>
                <w:rFonts w:ascii="Cambria Math" w:hAnsi="Cambria Math"/>
                <w:lang w:eastAsia="en-GB"/>
              </w:rPr>
              <m:t>(OH)</m:t>
            </m:r>
          </m:e>
          <m:sub>
            <m:r>
              <m:rPr>
                <m:sty m:val="p"/>
              </m:rPr>
              <w:rPr>
                <w:rFonts w:ascii="Cambria Math" w:hAnsi="Cambria Math"/>
                <w:lang w:eastAsia="en-GB"/>
              </w:rPr>
              <m:t>2</m:t>
            </m:r>
          </m:sub>
        </m:sSub>
        <m:r>
          <m:rPr>
            <m:sty m:val="p"/>
          </m:rPr>
          <w:rPr>
            <w:rFonts w:ascii="Cambria Math" w:hAnsi="Cambria Math"/>
            <w:lang w:eastAsia="en-GB"/>
          </w:rPr>
          <m:t>+2HCl → Mg</m:t>
        </m:r>
        <m:sSub>
          <m:sSubPr>
            <m:ctrlPr>
              <w:rPr>
                <w:rFonts w:ascii="Cambria Math" w:hAnsi="Cambria Math"/>
                <w:iCs/>
                <w:lang w:eastAsia="en-GB"/>
              </w:rPr>
            </m:ctrlPr>
          </m:sSubPr>
          <m:e>
            <m:r>
              <m:rPr>
                <m:sty m:val="p"/>
              </m:rPr>
              <w:rPr>
                <w:rFonts w:ascii="Cambria Math" w:hAnsi="Cambria Math"/>
                <w:lang w:eastAsia="en-GB"/>
              </w:rPr>
              <m:t>Cl</m:t>
            </m:r>
          </m:e>
          <m:sub>
            <m:r>
              <m:rPr>
                <m:sty m:val="p"/>
              </m:rPr>
              <w:rPr>
                <w:rFonts w:ascii="Cambria Math" w:hAnsi="Cambria Math"/>
                <w:lang w:eastAsia="en-GB"/>
              </w:rPr>
              <m:t>2</m:t>
            </m:r>
          </m:sub>
        </m:sSub>
        <m:r>
          <m:rPr>
            <m:sty m:val="p"/>
          </m:rPr>
          <w:rPr>
            <w:rFonts w:ascii="Cambria Math" w:hAnsi="Cambria Math"/>
            <w:lang w:eastAsia="en-GB"/>
          </w:rPr>
          <m:t xml:space="preserve">+ </m:t>
        </m:r>
        <m:sSub>
          <m:sSubPr>
            <m:ctrlPr>
              <w:rPr>
                <w:rFonts w:ascii="Cambria Math" w:hAnsi="Cambria Math"/>
                <w:iCs/>
                <w:lang w:eastAsia="en-GB"/>
              </w:rPr>
            </m:ctrlPr>
          </m:sSubPr>
          <m:e>
            <m:r>
              <m:rPr>
                <m:sty m:val="p"/>
              </m:rPr>
              <w:rPr>
                <w:rFonts w:ascii="Cambria Math" w:hAnsi="Cambria Math"/>
                <w:lang w:eastAsia="en-GB"/>
              </w:rPr>
              <m:t>2H</m:t>
            </m:r>
          </m:e>
          <m:sub>
            <m:r>
              <m:rPr>
                <m:sty m:val="p"/>
              </m:rPr>
              <w:rPr>
                <w:rFonts w:ascii="Cambria Math" w:hAnsi="Cambria Math"/>
                <w:lang w:eastAsia="en-GB"/>
              </w:rPr>
              <m:t>2</m:t>
            </m:r>
          </m:sub>
        </m:sSub>
        <m:r>
          <m:rPr>
            <m:sty m:val="p"/>
          </m:rPr>
          <w:rPr>
            <w:rFonts w:ascii="Cambria Math" w:hAnsi="Cambria Math"/>
            <w:lang w:eastAsia="en-GB"/>
          </w:rPr>
          <m:t>O</m:t>
        </m:r>
        <m:r>
          <w:rPr>
            <w:rFonts w:ascii="Cambria Math" w:hAnsi="Cambria Math"/>
            <w:lang w:eastAsia="en-GB"/>
          </w:rPr>
          <m:t xml:space="preserve"> </m:t>
        </m:r>
      </m:oMath>
    </w:p>
    <w:p w14:paraId="6F13DC04" w14:textId="4E27DFF2" w:rsidR="00EA0599" w:rsidRDefault="00EA0599" w:rsidP="00EA0599">
      <w:pPr>
        <w:pStyle w:val="RSCnumberedlist"/>
        <w:rPr>
          <w:lang w:eastAsia="en-GB"/>
        </w:rPr>
      </w:pPr>
      <w:r>
        <w:rPr>
          <w:lang w:eastAsia="en-GB"/>
        </w:rPr>
        <w:t>Answers will vary depending on the results. The higher the average titre the larger the amount of active ingredient in the tablet.</w:t>
      </w:r>
    </w:p>
    <w:p w14:paraId="283BE03E" w14:textId="17373B8E" w:rsidR="001436EC" w:rsidRDefault="001E7283" w:rsidP="00713188">
      <w:pPr>
        <w:pStyle w:val="RSCnumberedlist"/>
        <w:rPr>
          <w:lang w:eastAsia="en-GB"/>
        </w:rPr>
      </w:pPr>
      <w:r>
        <w:rPr>
          <w:lang w:eastAsia="en-GB"/>
        </w:rPr>
        <w:t>Learners</w:t>
      </w:r>
      <w:r w:rsidR="00713188" w:rsidRPr="00713188">
        <w:rPr>
          <w:lang w:eastAsia="en-GB"/>
        </w:rPr>
        <w:t xml:space="preserve"> ought to read the instructions on each packet concerning the recommended dosage.</w:t>
      </w:r>
      <w:r>
        <w:rPr>
          <w:lang w:eastAsia="en-GB"/>
        </w:rPr>
        <w:t xml:space="preserve"> Using this, alongside the price information and the </w:t>
      </w:r>
      <w:r>
        <w:rPr>
          <w:lang w:eastAsia="en-GB"/>
        </w:rPr>
        <w:lastRenderedPageBreak/>
        <w:t>amount of active ingredient</w:t>
      </w:r>
      <w:r w:rsidR="00713188" w:rsidRPr="00713188">
        <w:rPr>
          <w:lang w:eastAsia="en-GB"/>
        </w:rPr>
        <w:t xml:space="preserve"> </w:t>
      </w:r>
      <w:r>
        <w:rPr>
          <w:lang w:eastAsia="en-GB"/>
        </w:rPr>
        <w:t xml:space="preserve">they should be able to draw conclusions about value. </w:t>
      </w:r>
      <w:r w:rsidR="00713188" w:rsidRPr="00713188">
        <w:rPr>
          <w:lang w:eastAsia="en-GB"/>
        </w:rPr>
        <w:t>Many comparisons are likely to be ‘grey’ rather than ‘black and white’. This could lead to suggestions for further investigations for improving comparisons, but it is unlikely that these will be feasible at school.</w:t>
      </w:r>
    </w:p>
    <w:p w14:paraId="32197A10" w14:textId="3A7F414B" w:rsidR="00713188" w:rsidRDefault="00713188" w:rsidP="001E7283">
      <w:pPr>
        <w:pStyle w:val="RSCnumberedlist"/>
        <w:rPr>
          <w:lang w:eastAsia="en-GB"/>
        </w:rPr>
      </w:pPr>
      <w:r w:rsidRPr="00713188">
        <w:rPr>
          <w:lang w:eastAsia="en-GB"/>
        </w:rPr>
        <w:t xml:space="preserve">The experiment is designed to raise ‘fair test’ principles for discussion, and </w:t>
      </w:r>
      <w:r>
        <w:rPr>
          <w:lang w:eastAsia="en-GB"/>
        </w:rPr>
        <w:t>learner</w:t>
      </w:r>
      <w:r w:rsidRPr="00713188">
        <w:rPr>
          <w:lang w:eastAsia="en-GB"/>
        </w:rPr>
        <w:t>s are expected to comment with rational arguments on the validity of the comparisons they make. This could lead to suggestions for further investigations for improving comparisons, but it is unlikely that these will be feasible at school.</w:t>
      </w:r>
    </w:p>
    <w:p w14:paraId="522D16BD" w14:textId="63F512FD" w:rsidR="00D00AB5" w:rsidRPr="00CD56DB" w:rsidRDefault="00D00AB5" w:rsidP="00D00AB5">
      <w:pPr>
        <w:pStyle w:val="RSCMarks"/>
        <w:rPr>
          <w:color w:val="006F62"/>
        </w:rPr>
      </w:pPr>
    </w:p>
    <w:p w14:paraId="2DC4FCC2" w14:textId="46C60141" w:rsidR="001D1067" w:rsidRDefault="001D1067">
      <w:pPr>
        <w:spacing w:after="160" w:line="259" w:lineRule="auto"/>
        <w:jc w:val="left"/>
        <w:outlineLvl w:val="9"/>
        <w:rPr>
          <w:rFonts w:ascii="Century Gothic" w:hAnsi="Century Gothic"/>
          <w:b/>
          <w:bCs/>
          <w:color w:val="004976"/>
          <w:sz w:val="28"/>
          <w:szCs w:val="22"/>
        </w:rPr>
      </w:pPr>
    </w:p>
    <w:p w14:paraId="7F3EC2A4" w14:textId="77777777" w:rsidR="00D00AB5" w:rsidRPr="00CD5E3C" w:rsidRDefault="00D00AB5" w:rsidP="00CD5E3C">
      <w:pPr>
        <w:pStyle w:val="RSCBasictext"/>
        <w:rPr>
          <w:lang w:eastAsia="en-GB"/>
        </w:rPr>
      </w:pPr>
    </w:p>
    <w:sectPr w:rsidR="00D00AB5" w:rsidRPr="00CD5E3C" w:rsidSect="00231C1C">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34AC5" w14:textId="77777777" w:rsidR="008B0BF7" w:rsidRDefault="008B0BF7" w:rsidP="008A1B0B">
      <w:pPr>
        <w:spacing w:after="0" w:line="240" w:lineRule="auto"/>
      </w:pPr>
      <w:r>
        <w:separator/>
      </w:r>
    </w:p>
  </w:endnote>
  <w:endnote w:type="continuationSeparator" w:id="0">
    <w:p w14:paraId="3169BBDD" w14:textId="77777777" w:rsidR="008B0BF7" w:rsidRDefault="008B0BF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D9AA873"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F2EBD">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9D732" w14:textId="77777777" w:rsidR="008B0BF7" w:rsidRDefault="008B0BF7" w:rsidP="008A1B0B">
      <w:pPr>
        <w:spacing w:after="0" w:line="240" w:lineRule="auto"/>
      </w:pPr>
      <w:r>
        <w:separator/>
      </w:r>
    </w:p>
  </w:footnote>
  <w:footnote w:type="continuationSeparator" w:id="0">
    <w:p w14:paraId="6DC28E4B" w14:textId="77777777" w:rsidR="008B0BF7" w:rsidRDefault="008B0BF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0CAA" w14:textId="337BE495"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856060">
      <w:rPr>
        <w:rFonts w:ascii="Century Gothic" w:hAnsi="Century Gothic"/>
        <w:b/>
        <w:bCs/>
        <w:color w:val="004976"/>
        <w:sz w:val="30"/>
        <w:szCs w:val="30"/>
      </w:rPr>
      <w:t>Nuffield practical collection</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1E4F5860" w14:textId="77777777" w:rsidR="006A66CA" w:rsidRPr="00557BF2" w:rsidRDefault="006A66CA" w:rsidP="006A66CA">
    <w:pPr>
      <w:pStyle w:val="RSCURL"/>
      <w:jc w:val="right"/>
    </w:pPr>
    <w:r>
      <w:rPr>
        <w:color w:val="000000" w:themeColor="text1"/>
      </w:rPr>
      <w:t>Available from</w:t>
    </w:r>
    <w:r w:rsidRPr="00A56431">
      <w:rPr>
        <w:color w:val="000000" w:themeColor="text1"/>
      </w:rPr>
      <w:t xml:space="preserve"> </w:t>
    </w:r>
    <w:r w:rsidRPr="0083461B">
      <w:t>rsc.li/3NHeVNY</w:t>
    </w:r>
  </w:p>
  <w:p w14:paraId="014B122C" w14:textId="40AF40A2" w:rsidR="00557BF2" w:rsidRPr="00557BF2" w:rsidRDefault="00557BF2" w:rsidP="006A66CA">
    <w:pPr>
      <w:spacing w:after="86"/>
      <w:ind w:right="-850"/>
      <w:jc w:val="right"/>
      <w:rPr>
        <w:rFonts w:ascii="Century Gothic" w:hAnsi="Century Gothic"/>
        <w:b/>
        <w:bCs/>
        <w:color w:val="00497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738"/>
    <w:multiLevelType w:val="hybridMultilevel"/>
    <w:tmpl w:val="D662EB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55443"/>
    <w:multiLevelType w:val="hybridMultilevel"/>
    <w:tmpl w:val="23AA9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52A2681E"/>
    <w:lvl w:ilvl="0" w:tplc="BE240E4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4300B"/>
    <w:multiLevelType w:val="hybridMultilevel"/>
    <w:tmpl w:val="BFF47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20"/>
  </w:num>
  <w:num w:numId="2" w16cid:durableId="46608390">
    <w:abstractNumId w:val="12"/>
  </w:num>
  <w:num w:numId="3" w16cid:durableId="767046158">
    <w:abstractNumId w:val="7"/>
  </w:num>
  <w:num w:numId="4" w16cid:durableId="1754862014">
    <w:abstractNumId w:val="10"/>
  </w:num>
  <w:num w:numId="5" w16cid:durableId="522865220">
    <w:abstractNumId w:val="16"/>
  </w:num>
  <w:num w:numId="6" w16cid:durableId="1092093063">
    <w:abstractNumId w:val="18"/>
  </w:num>
  <w:num w:numId="7" w16cid:durableId="1042751722">
    <w:abstractNumId w:val="2"/>
  </w:num>
  <w:num w:numId="8" w16cid:durableId="339281078">
    <w:abstractNumId w:val="6"/>
  </w:num>
  <w:num w:numId="9" w16cid:durableId="166483661">
    <w:abstractNumId w:val="5"/>
  </w:num>
  <w:num w:numId="10" w16cid:durableId="739593575">
    <w:abstractNumId w:val="4"/>
  </w:num>
  <w:num w:numId="11" w16cid:durableId="1035690940">
    <w:abstractNumId w:val="13"/>
  </w:num>
  <w:num w:numId="12" w16cid:durableId="1470199975">
    <w:abstractNumId w:val="4"/>
    <w:lvlOverride w:ilvl="0">
      <w:startOverride w:val="1"/>
    </w:lvlOverride>
  </w:num>
  <w:num w:numId="13" w16cid:durableId="1479612613">
    <w:abstractNumId w:val="15"/>
  </w:num>
  <w:num w:numId="14" w16cid:durableId="1674912029">
    <w:abstractNumId w:val="14"/>
  </w:num>
  <w:num w:numId="15" w16cid:durableId="2099716115">
    <w:abstractNumId w:val="11"/>
  </w:num>
  <w:num w:numId="16" w16cid:durableId="649024404">
    <w:abstractNumId w:val="1"/>
  </w:num>
  <w:num w:numId="17" w16cid:durableId="1550605262">
    <w:abstractNumId w:val="8"/>
  </w:num>
  <w:num w:numId="18" w16cid:durableId="181480924">
    <w:abstractNumId w:val="9"/>
  </w:num>
  <w:num w:numId="19" w16cid:durableId="2003771580">
    <w:abstractNumId w:val="5"/>
    <w:lvlOverride w:ilvl="0">
      <w:startOverride w:val="1"/>
    </w:lvlOverride>
  </w:num>
  <w:num w:numId="20" w16cid:durableId="2139297354">
    <w:abstractNumId w:val="17"/>
  </w:num>
  <w:num w:numId="21" w16cid:durableId="1680431018">
    <w:abstractNumId w:val="19"/>
  </w:num>
  <w:num w:numId="22" w16cid:durableId="824786343">
    <w:abstractNumId w:val="0"/>
  </w:num>
  <w:num w:numId="23" w16cid:durableId="278152099">
    <w:abstractNumId w:val="3"/>
  </w:num>
  <w:num w:numId="24" w16cid:durableId="330107517">
    <w:abstractNumId w:val="4"/>
    <w:lvlOverride w:ilvl="0">
      <w:startOverride w:val="1"/>
    </w:lvlOverride>
  </w:num>
  <w:num w:numId="25" w16cid:durableId="135819750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2FA6"/>
    <w:rsid w:val="000042CB"/>
    <w:rsid w:val="00015968"/>
    <w:rsid w:val="00022B65"/>
    <w:rsid w:val="00035FA0"/>
    <w:rsid w:val="000452AC"/>
    <w:rsid w:val="00046615"/>
    <w:rsid w:val="0005730B"/>
    <w:rsid w:val="00062357"/>
    <w:rsid w:val="00071AC2"/>
    <w:rsid w:val="00087C7B"/>
    <w:rsid w:val="000B0210"/>
    <w:rsid w:val="000B0FE6"/>
    <w:rsid w:val="000D00F2"/>
    <w:rsid w:val="000E6E48"/>
    <w:rsid w:val="000E7F1D"/>
    <w:rsid w:val="000F14AB"/>
    <w:rsid w:val="000F54C6"/>
    <w:rsid w:val="00101839"/>
    <w:rsid w:val="0012739A"/>
    <w:rsid w:val="001436EC"/>
    <w:rsid w:val="00146FCD"/>
    <w:rsid w:val="00147637"/>
    <w:rsid w:val="00160D1B"/>
    <w:rsid w:val="00170732"/>
    <w:rsid w:val="001732AA"/>
    <w:rsid w:val="00180C62"/>
    <w:rsid w:val="001940E9"/>
    <w:rsid w:val="001953AB"/>
    <w:rsid w:val="001A278F"/>
    <w:rsid w:val="001D0152"/>
    <w:rsid w:val="001D1067"/>
    <w:rsid w:val="001D3A8B"/>
    <w:rsid w:val="001E7283"/>
    <w:rsid w:val="00200023"/>
    <w:rsid w:val="00207131"/>
    <w:rsid w:val="002236A8"/>
    <w:rsid w:val="002304A7"/>
    <w:rsid w:val="00231C1C"/>
    <w:rsid w:val="002549BE"/>
    <w:rsid w:val="00293ED6"/>
    <w:rsid w:val="002A3C79"/>
    <w:rsid w:val="002B06C9"/>
    <w:rsid w:val="002C2223"/>
    <w:rsid w:val="002D34BA"/>
    <w:rsid w:val="002E47CA"/>
    <w:rsid w:val="002F0651"/>
    <w:rsid w:val="002F2A90"/>
    <w:rsid w:val="002F35A3"/>
    <w:rsid w:val="003059AB"/>
    <w:rsid w:val="00307806"/>
    <w:rsid w:val="00362CD9"/>
    <w:rsid w:val="003676D5"/>
    <w:rsid w:val="003716B9"/>
    <w:rsid w:val="003723E0"/>
    <w:rsid w:val="00383A44"/>
    <w:rsid w:val="003A6A7D"/>
    <w:rsid w:val="003C643A"/>
    <w:rsid w:val="003C6B45"/>
    <w:rsid w:val="003D5F75"/>
    <w:rsid w:val="003D6657"/>
    <w:rsid w:val="003D6FA5"/>
    <w:rsid w:val="003F4F88"/>
    <w:rsid w:val="00400F77"/>
    <w:rsid w:val="00406E04"/>
    <w:rsid w:val="0041092D"/>
    <w:rsid w:val="00431226"/>
    <w:rsid w:val="00432594"/>
    <w:rsid w:val="00432C25"/>
    <w:rsid w:val="0044650F"/>
    <w:rsid w:val="00461E1D"/>
    <w:rsid w:val="0046389A"/>
    <w:rsid w:val="00485CEA"/>
    <w:rsid w:val="0048668D"/>
    <w:rsid w:val="004B4062"/>
    <w:rsid w:val="004E42FB"/>
    <w:rsid w:val="00512B6D"/>
    <w:rsid w:val="00516F80"/>
    <w:rsid w:val="0052289F"/>
    <w:rsid w:val="00546199"/>
    <w:rsid w:val="005527B1"/>
    <w:rsid w:val="005572ED"/>
    <w:rsid w:val="00557BF2"/>
    <w:rsid w:val="005609A6"/>
    <w:rsid w:val="00584693"/>
    <w:rsid w:val="00585392"/>
    <w:rsid w:val="0058666C"/>
    <w:rsid w:val="005B0A22"/>
    <w:rsid w:val="005B4AFE"/>
    <w:rsid w:val="005D78F2"/>
    <w:rsid w:val="005E0DEB"/>
    <w:rsid w:val="005E18FB"/>
    <w:rsid w:val="005F286E"/>
    <w:rsid w:val="0062252B"/>
    <w:rsid w:val="00640CF9"/>
    <w:rsid w:val="00643DBD"/>
    <w:rsid w:val="00647BD9"/>
    <w:rsid w:val="006676EF"/>
    <w:rsid w:val="006820BE"/>
    <w:rsid w:val="0069074A"/>
    <w:rsid w:val="006A20DC"/>
    <w:rsid w:val="006A66CA"/>
    <w:rsid w:val="006D5597"/>
    <w:rsid w:val="006D790E"/>
    <w:rsid w:val="006E13FB"/>
    <w:rsid w:val="006E6CCB"/>
    <w:rsid w:val="007042E5"/>
    <w:rsid w:val="00713188"/>
    <w:rsid w:val="00716A6D"/>
    <w:rsid w:val="00745329"/>
    <w:rsid w:val="00747FE6"/>
    <w:rsid w:val="00772F02"/>
    <w:rsid w:val="0077600A"/>
    <w:rsid w:val="00792401"/>
    <w:rsid w:val="00796A0F"/>
    <w:rsid w:val="007A08F5"/>
    <w:rsid w:val="007B56F2"/>
    <w:rsid w:val="007E48A7"/>
    <w:rsid w:val="00802956"/>
    <w:rsid w:val="008103AD"/>
    <w:rsid w:val="0081721A"/>
    <w:rsid w:val="00835B9C"/>
    <w:rsid w:val="008542D9"/>
    <w:rsid w:val="00856030"/>
    <w:rsid w:val="00856060"/>
    <w:rsid w:val="00871BC3"/>
    <w:rsid w:val="00872CC3"/>
    <w:rsid w:val="00873995"/>
    <w:rsid w:val="0089187A"/>
    <w:rsid w:val="00893F3D"/>
    <w:rsid w:val="008A1B0B"/>
    <w:rsid w:val="008A7F7F"/>
    <w:rsid w:val="008B0BF7"/>
    <w:rsid w:val="008B34F9"/>
    <w:rsid w:val="008B54F1"/>
    <w:rsid w:val="008D5383"/>
    <w:rsid w:val="008D7A53"/>
    <w:rsid w:val="008E40B8"/>
    <w:rsid w:val="008E5C3E"/>
    <w:rsid w:val="00904047"/>
    <w:rsid w:val="00905E09"/>
    <w:rsid w:val="009212B4"/>
    <w:rsid w:val="009228AE"/>
    <w:rsid w:val="009272D0"/>
    <w:rsid w:val="0097210A"/>
    <w:rsid w:val="00975A2A"/>
    <w:rsid w:val="009809D5"/>
    <w:rsid w:val="009B61EE"/>
    <w:rsid w:val="009E7886"/>
    <w:rsid w:val="00A13442"/>
    <w:rsid w:val="00A351EB"/>
    <w:rsid w:val="00A47E1A"/>
    <w:rsid w:val="00A5348B"/>
    <w:rsid w:val="00A544C8"/>
    <w:rsid w:val="00A555CF"/>
    <w:rsid w:val="00A559FE"/>
    <w:rsid w:val="00A56DBB"/>
    <w:rsid w:val="00A571EB"/>
    <w:rsid w:val="00A5740C"/>
    <w:rsid w:val="00A725C3"/>
    <w:rsid w:val="00A81615"/>
    <w:rsid w:val="00AC056B"/>
    <w:rsid w:val="00AC48F6"/>
    <w:rsid w:val="00B1427E"/>
    <w:rsid w:val="00B226A7"/>
    <w:rsid w:val="00B30A6E"/>
    <w:rsid w:val="00B34C3A"/>
    <w:rsid w:val="00B52FF1"/>
    <w:rsid w:val="00B547BD"/>
    <w:rsid w:val="00B67A03"/>
    <w:rsid w:val="00B71E66"/>
    <w:rsid w:val="00B9619F"/>
    <w:rsid w:val="00BA3729"/>
    <w:rsid w:val="00BA4832"/>
    <w:rsid w:val="00BC3F7D"/>
    <w:rsid w:val="00BD7DA9"/>
    <w:rsid w:val="00BE0EFA"/>
    <w:rsid w:val="00C0455B"/>
    <w:rsid w:val="00C1703F"/>
    <w:rsid w:val="00C2036D"/>
    <w:rsid w:val="00C24181"/>
    <w:rsid w:val="00C43346"/>
    <w:rsid w:val="00C93B0F"/>
    <w:rsid w:val="00CC2BDF"/>
    <w:rsid w:val="00CD3159"/>
    <w:rsid w:val="00CD3907"/>
    <w:rsid w:val="00CD5E3C"/>
    <w:rsid w:val="00CE29FE"/>
    <w:rsid w:val="00CF6E3E"/>
    <w:rsid w:val="00D00AB5"/>
    <w:rsid w:val="00D17CC0"/>
    <w:rsid w:val="00D21035"/>
    <w:rsid w:val="00D32A06"/>
    <w:rsid w:val="00D351FD"/>
    <w:rsid w:val="00D404FF"/>
    <w:rsid w:val="00D45D99"/>
    <w:rsid w:val="00D60D30"/>
    <w:rsid w:val="00D66E92"/>
    <w:rsid w:val="00D72CDA"/>
    <w:rsid w:val="00D769DC"/>
    <w:rsid w:val="00D93AEF"/>
    <w:rsid w:val="00D9460F"/>
    <w:rsid w:val="00DB589E"/>
    <w:rsid w:val="00DB59B2"/>
    <w:rsid w:val="00DC0D9C"/>
    <w:rsid w:val="00DD432E"/>
    <w:rsid w:val="00DF2582"/>
    <w:rsid w:val="00E052C6"/>
    <w:rsid w:val="00E34646"/>
    <w:rsid w:val="00E9499A"/>
    <w:rsid w:val="00E95DE4"/>
    <w:rsid w:val="00E96850"/>
    <w:rsid w:val="00EA0599"/>
    <w:rsid w:val="00EA557D"/>
    <w:rsid w:val="00EC113E"/>
    <w:rsid w:val="00EC7EFF"/>
    <w:rsid w:val="00EE04CD"/>
    <w:rsid w:val="00EE1275"/>
    <w:rsid w:val="00EF2030"/>
    <w:rsid w:val="00F05F14"/>
    <w:rsid w:val="00F11376"/>
    <w:rsid w:val="00F11AC5"/>
    <w:rsid w:val="00F32B90"/>
    <w:rsid w:val="00F33C21"/>
    <w:rsid w:val="00F53D5E"/>
    <w:rsid w:val="00F7006B"/>
    <w:rsid w:val="00F80ECB"/>
    <w:rsid w:val="00FA2E46"/>
    <w:rsid w:val="00FA7F05"/>
    <w:rsid w:val="00FC3B24"/>
    <w:rsid w:val="00FD2586"/>
    <w:rsid w:val="00FF2EBD"/>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CommentReference">
    <w:name w:val="annotation reference"/>
    <w:basedOn w:val="DefaultParagraphFont"/>
    <w:uiPriority w:val="99"/>
    <w:semiHidden/>
    <w:unhideWhenUsed/>
    <w:rsid w:val="00856060"/>
    <w:rPr>
      <w:sz w:val="16"/>
      <w:szCs w:val="16"/>
    </w:rPr>
  </w:style>
  <w:style w:type="paragraph" w:styleId="CommentText0">
    <w:name w:val="annotation text"/>
    <w:basedOn w:val="Normal"/>
    <w:link w:val="CommentTextChar"/>
    <w:uiPriority w:val="99"/>
    <w:unhideWhenUsed/>
    <w:rsid w:val="00856060"/>
    <w:pPr>
      <w:spacing w:line="240" w:lineRule="auto"/>
    </w:pPr>
  </w:style>
  <w:style w:type="character" w:customStyle="1" w:styleId="CommentTextChar">
    <w:name w:val="Comment Text Char"/>
    <w:basedOn w:val="DefaultParagraphFont"/>
    <w:link w:val="CommentText0"/>
    <w:uiPriority w:val="99"/>
    <w:rsid w:val="0085606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56060"/>
    <w:rPr>
      <w:b/>
      <w:bCs/>
    </w:rPr>
  </w:style>
  <w:style w:type="character" w:customStyle="1" w:styleId="CommentSubjectChar">
    <w:name w:val="Comment Subject Char"/>
    <w:basedOn w:val="CommentTextChar"/>
    <w:link w:val="CommentSubject"/>
    <w:uiPriority w:val="99"/>
    <w:semiHidden/>
    <w:rsid w:val="00856060"/>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FF2EBD"/>
    <w:rPr>
      <w:color w:val="954F72" w:themeColor="followedHyperlink"/>
      <w:u w:val="single"/>
    </w:rPr>
  </w:style>
  <w:style w:type="paragraph" w:styleId="Revision">
    <w:name w:val="Revision"/>
    <w:hidden/>
    <w:uiPriority w:val="99"/>
    <w:semiHidden/>
    <w:rsid w:val="003F4F88"/>
    <w:pPr>
      <w:spacing w:after="0" w:line="240" w:lineRule="auto"/>
    </w:pPr>
    <w:rPr>
      <w:rFonts w:ascii="Arial" w:hAnsi="Arial" w:cs="Arial"/>
      <w:sz w:val="20"/>
      <w:szCs w:val="20"/>
      <w:lang w:eastAsia="zh-CN"/>
    </w:rPr>
  </w:style>
  <w:style w:type="character" w:styleId="PlaceholderText">
    <w:name w:val="Placeholder Text"/>
    <w:basedOn w:val="DefaultParagraphFont"/>
    <w:uiPriority w:val="99"/>
    <w:semiHidden/>
    <w:rsid w:val="00C203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A6EftG" TargetMode="External"/><Relationship Id="rId13" Type="http://schemas.openxmlformats.org/officeDocument/2006/relationships/hyperlink" Target="https://rsc.li/4enTwV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c.li/3NHeVN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4eakxu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sc.li/3A6EftG" TargetMode="External"/><Relationship Id="rId4" Type="http://schemas.openxmlformats.org/officeDocument/2006/relationships/settings" Target="settings.xml"/><Relationship Id="rId9" Type="http://schemas.openxmlformats.org/officeDocument/2006/relationships/hyperlink" Target="https://rsc.li/3NI70A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1145</Words>
  <Characters>5760</Characters>
  <Application>Microsoft Office Word</Application>
  <DocSecurity>0</DocSecurity>
  <Lines>320</Lines>
  <Paragraphs>181</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6724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Indigestion tablet titration teacher notes</dc:title>
  <dc:subject/>
  <dc:creator>Royal Society Of Chemistry</dc:creator>
  <cp:keywords>titration, neutralisation, burette, indigestion tablet,</cp:keywords>
  <dc:description>From https://rsc.li/3A6EftG All you need to teach titration effectively infographic poster, Education in Chemistry</dc:description>
  <cp:lastModifiedBy>Kirsty Patterson</cp:lastModifiedBy>
  <cp:revision>3</cp:revision>
  <dcterms:created xsi:type="dcterms:W3CDTF">2024-10-31T11:09:00Z</dcterms:created>
  <dcterms:modified xsi:type="dcterms:W3CDTF">2024-10-31T12:54:00Z</dcterms:modified>
  <cp:category/>
</cp:coreProperties>
</file>