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73883E8E" w:rsidR="00A5740C" w:rsidRDefault="001A4551" w:rsidP="000E4D3D">
      <w:pPr>
        <w:pStyle w:val="RSCH1"/>
      </w:pPr>
      <w:r>
        <w:t>Diffusion and chemical reactions</w:t>
      </w:r>
    </w:p>
    <w:p w14:paraId="0460F334" w14:textId="54F8EE9E" w:rsidR="00F82C1D" w:rsidRDefault="00F82C1D" w:rsidP="00F82C1D">
      <w:pPr>
        <w:pStyle w:val="RSCBasictext"/>
        <w:rPr>
          <w:lang w:eastAsia="en-GB"/>
        </w:rPr>
      </w:pPr>
      <w:bookmarkStart w:id="0" w:name="_Hlk166166004"/>
      <w:r w:rsidRPr="1273A116">
        <w:rPr>
          <w:lang w:eastAsia="en-GB"/>
        </w:rPr>
        <w:t xml:space="preserve">This resource is from the </w:t>
      </w:r>
      <w:r w:rsidRPr="1273A116">
        <w:rPr>
          <w:b/>
          <w:bCs/>
          <w:lang w:eastAsia="en-GB"/>
        </w:rPr>
        <w:t xml:space="preserve">Johnstone’s triangle </w:t>
      </w:r>
      <w:r w:rsidRPr="1273A116">
        <w:rPr>
          <w:lang w:eastAsia="en-GB"/>
        </w:rPr>
        <w:t>series which can be viewed at:</w:t>
      </w:r>
      <w:r w:rsidR="0039018E">
        <w:rPr>
          <w:lang w:eastAsia="en-GB"/>
        </w:rPr>
        <w:t xml:space="preserve"> </w:t>
      </w:r>
      <w:hyperlink r:id="rId11" w:history="1">
        <w:r w:rsidR="006E3CD8" w:rsidRPr="006E3CD8">
          <w:rPr>
            <w:rStyle w:val="Hyperlink"/>
            <w:color w:val="006F62"/>
          </w:rPr>
          <w:t>rsc.li/3Z29Rd5</w:t>
        </w:r>
      </w:hyperlink>
      <w:r w:rsidR="52C87205" w:rsidRPr="13B3130B">
        <w:rPr>
          <w:lang w:eastAsia="en-GB"/>
        </w:rPr>
        <w:t>.</w:t>
      </w:r>
      <w:r w:rsidR="0571893B" w:rsidRPr="13B3130B">
        <w:rPr>
          <w:lang w:eastAsia="en-GB"/>
        </w:rPr>
        <w:t xml:space="preserve"> </w:t>
      </w:r>
      <w:r w:rsidRPr="1273A116">
        <w:rPr>
          <w:lang w:eastAsia="en-GB"/>
        </w:rPr>
        <w:t>In this series you will also find ou</w:t>
      </w:r>
      <w:r w:rsidR="00A42444" w:rsidRPr="1273A116">
        <w:rPr>
          <w:lang w:eastAsia="en-GB"/>
        </w:rPr>
        <w:t>r</w:t>
      </w:r>
      <w:r w:rsidRPr="1273A116">
        <w:rPr>
          <w:lang w:eastAsia="en-GB"/>
        </w:rPr>
        <w:t xml:space="preserve"> </w:t>
      </w:r>
      <w:r w:rsidR="00A42444" w:rsidRPr="1273A116">
        <w:rPr>
          <w:b/>
          <w:bCs/>
          <w:lang w:eastAsia="en-GB"/>
        </w:rPr>
        <w:t>Diffusion</w:t>
      </w:r>
      <w:r w:rsidRPr="1273A116">
        <w:rPr>
          <w:b/>
          <w:bCs/>
          <w:lang w:eastAsia="en-GB"/>
        </w:rPr>
        <w:t xml:space="preserve">: Johnstone’s triangle </w:t>
      </w:r>
      <w:r w:rsidRPr="1273A116">
        <w:rPr>
          <w:lang w:eastAsia="en-GB"/>
        </w:rPr>
        <w:t>worksheet which introduces the triangle in the context of</w:t>
      </w:r>
      <w:r w:rsidR="001B6454" w:rsidRPr="1273A116">
        <w:rPr>
          <w:lang w:eastAsia="en-GB"/>
        </w:rPr>
        <w:t xml:space="preserve"> the diffusion of colour in water</w:t>
      </w:r>
      <w:r w:rsidRPr="1273A116">
        <w:rPr>
          <w:lang w:eastAsia="en-GB"/>
        </w:rPr>
        <w:t xml:space="preserve"> and can be viewed at: </w:t>
      </w:r>
      <w:hyperlink r:id="rId12" w:history="1">
        <w:r w:rsidR="00B566C5" w:rsidRPr="00B566C5">
          <w:rPr>
            <w:rStyle w:val="Hyperlink"/>
            <w:color w:val="006F62"/>
          </w:rPr>
          <w:t>rsc.li/3Y73h4j</w:t>
        </w:r>
      </w:hyperlink>
      <w:r w:rsidR="0039018E">
        <w:rPr>
          <w:lang w:eastAsia="en-GB"/>
        </w:rPr>
        <w:t>.</w:t>
      </w:r>
    </w:p>
    <w:bookmarkEnd w:id="0"/>
    <w:p w14:paraId="791953DF" w14:textId="536DE5D8" w:rsidR="00A5740C" w:rsidRDefault="00722220" w:rsidP="000736CE">
      <w:pPr>
        <w:pStyle w:val="RSCH2"/>
      </w:pPr>
      <w:r>
        <w:t>Learning objectives</w:t>
      </w:r>
    </w:p>
    <w:tbl>
      <w:tblPr>
        <w:tblStyle w:val="TableGrid"/>
        <w:tblW w:w="9072" w:type="dxa"/>
        <w:tblInd w:w="-5" w:type="dxa"/>
        <w:tblLook w:val="04A0" w:firstRow="1" w:lastRow="0" w:firstColumn="1" w:lastColumn="0" w:noHBand="0" w:noVBand="1"/>
      </w:tblPr>
      <w:tblGrid>
        <w:gridCol w:w="1129"/>
        <w:gridCol w:w="6101"/>
        <w:gridCol w:w="1842"/>
      </w:tblGrid>
      <w:tr w:rsidR="00B01D29" w:rsidRPr="00985C41" w14:paraId="3CA1C13A" w14:textId="77777777" w:rsidTr="000F7C30">
        <w:trPr>
          <w:trHeight w:val="482"/>
        </w:trPr>
        <w:tc>
          <w:tcPr>
            <w:tcW w:w="1129" w:type="dxa"/>
            <w:shd w:val="clear" w:color="auto" w:fill="E0E88E"/>
            <w:vAlign w:val="center"/>
          </w:tcPr>
          <w:p w14:paraId="258C37E3" w14:textId="77777777" w:rsidR="00B01D29" w:rsidRPr="00A75CDB" w:rsidRDefault="00B01D29" w:rsidP="000F7C30">
            <w:pPr>
              <w:spacing w:before="58" w:after="58" w:line="259" w:lineRule="auto"/>
              <w:ind w:left="0" w:right="28" w:firstLine="0"/>
              <w:jc w:val="center"/>
              <w:rPr>
                <w:rFonts w:ascii="Century Gothic" w:hAnsi="Century Gothic"/>
                <w:b/>
                <w:bCs/>
                <w:color w:val="006F62"/>
              </w:rPr>
            </w:pPr>
            <w:r w:rsidRPr="00A75CDB">
              <w:rPr>
                <w:rFonts w:ascii="Century Gothic" w:hAnsi="Century Gothic"/>
                <w:b/>
                <w:bCs/>
                <w:color w:val="006F62"/>
              </w:rPr>
              <w:t>LO</w:t>
            </w:r>
          </w:p>
        </w:tc>
        <w:tc>
          <w:tcPr>
            <w:tcW w:w="6101" w:type="dxa"/>
            <w:shd w:val="clear" w:color="auto" w:fill="E0E88E"/>
            <w:vAlign w:val="center"/>
          </w:tcPr>
          <w:p w14:paraId="0F48B857" w14:textId="77777777" w:rsidR="00B01D29" w:rsidRPr="00A75CDB" w:rsidRDefault="00B01D29" w:rsidP="000F7C30">
            <w:pPr>
              <w:spacing w:before="60" w:after="60" w:line="259" w:lineRule="auto"/>
              <w:ind w:left="0" w:right="33" w:firstLine="0"/>
              <w:jc w:val="left"/>
              <w:rPr>
                <w:rFonts w:ascii="Century Gothic" w:hAnsi="Century Gothic"/>
                <w:b/>
                <w:bCs/>
                <w:color w:val="006F62"/>
              </w:rPr>
            </w:pPr>
            <w:r w:rsidRPr="00A75CDB">
              <w:rPr>
                <w:rFonts w:ascii="Century Gothic" w:hAnsi="Century Gothic"/>
                <w:b/>
                <w:bCs/>
                <w:color w:val="006F62"/>
              </w:rPr>
              <w:t>Objective</w:t>
            </w:r>
          </w:p>
        </w:tc>
        <w:tc>
          <w:tcPr>
            <w:tcW w:w="1842" w:type="dxa"/>
            <w:shd w:val="clear" w:color="auto" w:fill="E0E88E"/>
            <w:vAlign w:val="center"/>
          </w:tcPr>
          <w:p w14:paraId="73D48FE9" w14:textId="77777777" w:rsidR="00B01D29" w:rsidRPr="00A75CDB" w:rsidRDefault="00B01D29" w:rsidP="000F7C30">
            <w:pPr>
              <w:spacing w:before="60" w:after="60" w:line="259" w:lineRule="auto"/>
              <w:ind w:left="0" w:right="33" w:firstLine="0"/>
              <w:jc w:val="center"/>
              <w:rPr>
                <w:rFonts w:ascii="Century Gothic" w:hAnsi="Century Gothic"/>
                <w:b/>
                <w:bCs/>
                <w:color w:val="006F62"/>
              </w:rPr>
            </w:pPr>
            <w:r w:rsidRPr="00A75CDB">
              <w:rPr>
                <w:rFonts w:ascii="Century Gothic" w:hAnsi="Century Gothic"/>
                <w:b/>
                <w:bCs/>
                <w:color w:val="006F62"/>
              </w:rPr>
              <w:t>Where assessed</w:t>
            </w:r>
          </w:p>
        </w:tc>
      </w:tr>
      <w:tr w:rsidR="00B01D29" w:rsidRPr="00985C41" w14:paraId="5FA7AD1A" w14:textId="77777777" w:rsidTr="000F7C30">
        <w:trPr>
          <w:trHeight w:val="582"/>
        </w:trPr>
        <w:tc>
          <w:tcPr>
            <w:tcW w:w="1129" w:type="dxa"/>
            <w:vAlign w:val="center"/>
          </w:tcPr>
          <w:p w14:paraId="247E90FC" w14:textId="77777777" w:rsidR="00B01D29" w:rsidRPr="00A75CDB" w:rsidRDefault="00B01D29" w:rsidP="000F7C30">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1</w:t>
            </w:r>
          </w:p>
        </w:tc>
        <w:tc>
          <w:tcPr>
            <w:tcW w:w="6101" w:type="dxa"/>
            <w:vAlign w:val="center"/>
          </w:tcPr>
          <w:p w14:paraId="268CCEE4" w14:textId="042EEB19" w:rsidR="00B01D29" w:rsidRDefault="00E35CD1" w:rsidP="00762EC8">
            <w:pPr>
              <w:pStyle w:val="RSCBasictext"/>
              <w:spacing w:after="0"/>
              <w:ind w:left="0" w:firstLine="0"/>
            </w:pPr>
            <w:r w:rsidRPr="00762EC8">
              <w:t xml:space="preserve">Connect understanding of diffusion and chemical reactions to explain the formation of a </w:t>
            </w:r>
            <w:r w:rsidR="00935F08">
              <w:t>product</w:t>
            </w:r>
            <w:r w:rsidRPr="00935F08">
              <w:t xml:space="preserve"> from</w:t>
            </w:r>
            <w:r w:rsidRPr="00762EC8">
              <w:t xml:space="preserve"> the reaction of two substances in the gas state.</w:t>
            </w:r>
          </w:p>
        </w:tc>
        <w:tc>
          <w:tcPr>
            <w:tcW w:w="1842" w:type="dxa"/>
            <w:vAlign w:val="center"/>
          </w:tcPr>
          <w:p w14:paraId="02E9D547" w14:textId="77777777" w:rsidR="00B01D29" w:rsidRPr="00985C41" w:rsidRDefault="00B01D29" w:rsidP="000F7C30">
            <w:pPr>
              <w:tabs>
                <w:tab w:val="left" w:pos="1593"/>
              </w:tabs>
              <w:spacing w:after="0" w:line="259" w:lineRule="auto"/>
              <w:ind w:left="0" w:firstLine="0"/>
              <w:jc w:val="center"/>
              <w:rPr>
                <w:rFonts w:ascii="Century Gothic" w:hAnsi="Century Gothic"/>
              </w:rPr>
            </w:pPr>
            <w:r>
              <w:rPr>
                <w:rFonts w:ascii="Century Gothic" w:hAnsi="Century Gothic"/>
              </w:rPr>
              <w:t>Q1</w:t>
            </w:r>
          </w:p>
        </w:tc>
      </w:tr>
      <w:tr w:rsidR="00B01D29" w:rsidRPr="00985C41" w14:paraId="3959247C" w14:textId="77777777" w:rsidTr="000F7C30">
        <w:trPr>
          <w:trHeight w:val="582"/>
        </w:trPr>
        <w:tc>
          <w:tcPr>
            <w:tcW w:w="1129" w:type="dxa"/>
            <w:vAlign w:val="center"/>
          </w:tcPr>
          <w:p w14:paraId="3EA8B403" w14:textId="77777777" w:rsidR="00B01D29" w:rsidRPr="00A75CDB" w:rsidRDefault="00B01D29" w:rsidP="000F7C30">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2</w:t>
            </w:r>
          </w:p>
        </w:tc>
        <w:tc>
          <w:tcPr>
            <w:tcW w:w="6101" w:type="dxa"/>
            <w:vAlign w:val="center"/>
          </w:tcPr>
          <w:p w14:paraId="690EA157" w14:textId="33FC2FFF" w:rsidR="00B01D29" w:rsidRDefault="004058EF" w:rsidP="000F7C30">
            <w:pPr>
              <w:pStyle w:val="RSCBasictext"/>
              <w:spacing w:after="0"/>
              <w:ind w:left="0" w:firstLine="0"/>
            </w:pPr>
            <w:r w:rsidRPr="00762EC8">
              <w:t xml:space="preserve">Connect understanding of diffusion and chemical reactions to explain the formation of a </w:t>
            </w:r>
            <w:r>
              <w:t>solid product from when particles of two dissolving substances meet</w:t>
            </w:r>
            <w:r w:rsidRPr="00762EC8">
              <w:t>.</w:t>
            </w:r>
          </w:p>
        </w:tc>
        <w:tc>
          <w:tcPr>
            <w:tcW w:w="1842" w:type="dxa"/>
            <w:vAlign w:val="center"/>
          </w:tcPr>
          <w:p w14:paraId="71508708" w14:textId="050E7879" w:rsidR="00B01D29" w:rsidRDefault="00B01D29" w:rsidP="000F7C30">
            <w:pPr>
              <w:tabs>
                <w:tab w:val="left" w:pos="1593"/>
              </w:tabs>
              <w:spacing w:after="0" w:line="259" w:lineRule="auto"/>
              <w:ind w:left="0" w:firstLine="0"/>
              <w:jc w:val="center"/>
              <w:rPr>
                <w:rFonts w:ascii="Century Gothic" w:hAnsi="Century Gothic"/>
              </w:rPr>
            </w:pPr>
            <w:r>
              <w:rPr>
                <w:rFonts w:ascii="Century Gothic" w:hAnsi="Century Gothic"/>
              </w:rPr>
              <w:t>Q2</w:t>
            </w:r>
          </w:p>
        </w:tc>
      </w:tr>
    </w:tbl>
    <w:p w14:paraId="5269F239" w14:textId="792807AE" w:rsidR="008B0FA2" w:rsidRDefault="008B0FA2" w:rsidP="008B0FA2">
      <w:pPr>
        <w:pStyle w:val="RSCH2"/>
      </w:pPr>
      <w:r>
        <w:t>How to use this resource</w:t>
      </w:r>
    </w:p>
    <w:p w14:paraId="457E5D75" w14:textId="63807906" w:rsidR="008B0FA2" w:rsidRDefault="008B0FA2" w:rsidP="008B0FA2">
      <w:pPr>
        <w:pStyle w:val="RSCBasictext"/>
      </w:pPr>
      <w:r>
        <w:t xml:space="preserve">This resource aims to develop learners’ understanding of </w:t>
      </w:r>
      <w:r w:rsidR="00935F08">
        <w:t>diffusion and chemical reactions.</w:t>
      </w:r>
      <w:r>
        <w:t xml:space="preserve"> The questions encourage learners to think about</w:t>
      </w:r>
      <w:r w:rsidR="00DA1535">
        <w:t xml:space="preserve"> the diffusion of reactants </w:t>
      </w:r>
      <w:r w:rsidR="00971D97">
        <w:t xml:space="preserve">in the gas state and in solution </w:t>
      </w:r>
      <w:r w:rsidR="00A9096D">
        <w:t>and the formation of a product where they meet.</w:t>
      </w:r>
      <w:r>
        <w:t xml:space="preserve"> As a result, learners should develop more secure mental models to support their thinking about this topic.</w:t>
      </w:r>
    </w:p>
    <w:tbl>
      <w:tblPr>
        <w:tblStyle w:val="TableGrid"/>
        <w:tblW w:w="9015" w:type="dxa"/>
        <w:tblLook w:val="04A0" w:firstRow="1" w:lastRow="0" w:firstColumn="1" w:lastColumn="0" w:noHBand="0" w:noVBand="1"/>
      </w:tblPr>
      <w:tblGrid>
        <w:gridCol w:w="1803"/>
        <w:gridCol w:w="1803"/>
        <w:gridCol w:w="1803"/>
        <w:gridCol w:w="1803"/>
        <w:gridCol w:w="1803"/>
      </w:tblGrid>
      <w:tr w:rsidR="008B0FA2" w14:paraId="20D7D2A8" w14:textId="77777777" w:rsidTr="000F7C30">
        <w:tc>
          <w:tcPr>
            <w:tcW w:w="1803" w:type="dxa"/>
            <w:vMerge w:val="restart"/>
            <w:shd w:val="clear" w:color="auto" w:fill="E0E88E"/>
          </w:tcPr>
          <w:p w14:paraId="1BD428CC" w14:textId="77777777" w:rsidR="008B0FA2" w:rsidRPr="000F7C30" w:rsidRDefault="008B0FA2" w:rsidP="000F7C30">
            <w:pPr>
              <w:pStyle w:val="RSCBasictext"/>
              <w:ind w:left="0" w:firstLine="0"/>
              <w:rPr>
                <w:color w:val="006F62"/>
                <w:lang w:eastAsia="en-GB"/>
              </w:rPr>
            </w:pPr>
            <w:bookmarkStart w:id="1" w:name="_Hlk179378095"/>
            <w:r w:rsidRPr="000F7C30">
              <w:rPr>
                <w:b/>
                <w:bCs/>
                <w:color w:val="006F62"/>
                <w:lang w:eastAsia="en-GB"/>
              </w:rPr>
              <w:t>When to use?</w:t>
            </w:r>
          </w:p>
        </w:tc>
        <w:tc>
          <w:tcPr>
            <w:tcW w:w="1803" w:type="dxa"/>
            <w:vAlign w:val="center"/>
          </w:tcPr>
          <w:p w14:paraId="352DE50A" w14:textId="77777777" w:rsidR="008B0FA2" w:rsidRDefault="008B0FA2" w:rsidP="000F7C30">
            <w:pPr>
              <w:pStyle w:val="RSCBasictext"/>
              <w:ind w:left="0" w:firstLine="0"/>
              <w:jc w:val="center"/>
              <w:rPr>
                <w:lang w:eastAsia="en-GB"/>
              </w:rPr>
            </w:pPr>
            <w:r>
              <w:rPr>
                <w:noProof/>
                <w:lang w:eastAsia="en-GB"/>
              </w:rPr>
              <w:drawing>
                <wp:inline distT="0" distB="0" distL="0" distR="0" wp14:anchorId="04114AB4" wp14:editId="266BA040">
                  <wp:extent cx="502920" cy="502920"/>
                  <wp:effectExtent l="0" t="0" r="0" b="0"/>
                  <wp:docPr id="1718168672"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2920" cy="502920"/>
                          </a:xfrm>
                          <a:prstGeom prst="rect">
                            <a:avLst/>
                          </a:prstGeom>
                        </pic:spPr>
                      </pic:pic>
                    </a:graphicData>
                  </a:graphic>
                </wp:inline>
              </w:drawing>
            </w:r>
            <w:r>
              <w:rPr>
                <w:lang w:eastAsia="en-GB"/>
              </w:rPr>
              <w:br/>
            </w:r>
            <w:r w:rsidRPr="00CA4027">
              <w:rPr>
                <w:color w:val="D9D9D9" w:themeColor="background1" w:themeShade="D9"/>
                <w:sz w:val="18"/>
                <w:szCs w:val="18"/>
                <w:lang w:eastAsia="en-GB"/>
              </w:rPr>
              <w:t>Introduce</w:t>
            </w:r>
          </w:p>
        </w:tc>
        <w:tc>
          <w:tcPr>
            <w:tcW w:w="1803" w:type="dxa"/>
            <w:vAlign w:val="center"/>
          </w:tcPr>
          <w:p w14:paraId="3CB87CB0" w14:textId="77777777" w:rsidR="008B0FA2" w:rsidRDefault="008B0FA2" w:rsidP="000F7C30">
            <w:pPr>
              <w:pStyle w:val="RSCBasictext"/>
              <w:ind w:left="0" w:firstLine="0"/>
              <w:jc w:val="center"/>
              <w:rPr>
                <w:lang w:eastAsia="en-GB"/>
              </w:rPr>
            </w:pPr>
            <w:r>
              <w:rPr>
                <w:noProof/>
                <w:lang w:eastAsia="en-GB"/>
              </w:rPr>
              <w:drawing>
                <wp:inline distT="0" distB="0" distL="0" distR="0" wp14:anchorId="09EF8E52" wp14:editId="463395D0">
                  <wp:extent cx="504000" cy="504000"/>
                  <wp:effectExtent l="0" t="0" r="0" b="0"/>
                  <wp:docPr id="388535422"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rPr>
                <w:b/>
                <w:bCs/>
                <w:sz w:val="18"/>
                <w:szCs w:val="18"/>
                <w:lang w:eastAsia="en-GB"/>
              </w:rPr>
              <w:br/>
            </w:r>
            <w:r w:rsidRPr="00675802">
              <w:rPr>
                <w:b/>
                <w:bCs/>
                <w:sz w:val="18"/>
                <w:szCs w:val="18"/>
                <w:lang w:eastAsia="en-GB"/>
              </w:rPr>
              <w:t>Develop</w:t>
            </w:r>
          </w:p>
        </w:tc>
        <w:tc>
          <w:tcPr>
            <w:tcW w:w="1803" w:type="dxa"/>
            <w:vAlign w:val="center"/>
          </w:tcPr>
          <w:p w14:paraId="0C942D6E" w14:textId="77777777" w:rsidR="008B0FA2" w:rsidRDefault="008B0FA2" w:rsidP="000F7C30">
            <w:pPr>
              <w:pStyle w:val="RSCBasictext"/>
              <w:ind w:left="9" w:firstLine="0"/>
              <w:jc w:val="center"/>
              <w:rPr>
                <w:lang w:eastAsia="en-GB"/>
              </w:rPr>
            </w:pPr>
            <w:r>
              <w:rPr>
                <w:noProof/>
                <w:lang w:eastAsia="en-GB"/>
              </w:rPr>
              <w:drawing>
                <wp:inline distT="0" distB="0" distL="0" distR="0" wp14:anchorId="440724FA" wp14:editId="6122718C">
                  <wp:extent cx="504000" cy="504000"/>
                  <wp:effectExtent l="0" t="0" r="0" b="0"/>
                  <wp:docPr id="67639429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Pr>
                <w:lang w:eastAsia="en-GB"/>
              </w:rPr>
              <w:br/>
            </w:r>
            <w:r w:rsidRPr="00675802">
              <w:rPr>
                <w:b/>
                <w:bCs/>
                <w:sz w:val="18"/>
                <w:szCs w:val="18"/>
                <w:lang w:eastAsia="en-GB"/>
              </w:rPr>
              <w:t>Revise</w:t>
            </w:r>
          </w:p>
        </w:tc>
        <w:tc>
          <w:tcPr>
            <w:tcW w:w="1803" w:type="dxa"/>
            <w:vAlign w:val="center"/>
          </w:tcPr>
          <w:p w14:paraId="2B9F7EFF" w14:textId="77777777" w:rsidR="008B0FA2" w:rsidRDefault="008B0FA2" w:rsidP="000F7C30">
            <w:pPr>
              <w:pStyle w:val="RSCBasictext"/>
              <w:ind w:left="9" w:firstLine="0"/>
              <w:jc w:val="center"/>
              <w:rPr>
                <w:lang w:eastAsia="en-GB"/>
              </w:rPr>
            </w:pPr>
            <w:r>
              <w:rPr>
                <w:noProof/>
                <w:lang w:eastAsia="en-GB"/>
              </w:rPr>
              <w:drawing>
                <wp:inline distT="0" distB="0" distL="0" distR="0" wp14:anchorId="016AE2D4" wp14:editId="7C8C7FC2">
                  <wp:extent cx="504000" cy="504000"/>
                  <wp:effectExtent l="0" t="0" r="0" b="0"/>
                  <wp:docPr id="761058520"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Pr>
                <w:lang w:eastAsia="en-GB"/>
              </w:rPr>
              <w:br/>
            </w:r>
            <w:r w:rsidRPr="00CA4027">
              <w:rPr>
                <w:color w:val="D9D9D9" w:themeColor="background1" w:themeShade="D9"/>
                <w:sz w:val="18"/>
                <w:szCs w:val="18"/>
                <w:lang w:eastAsia="en-GB"/>
              </w:rPr>
              <w:t>Assess</w:t>
            </w:r>
          </w:p>
        </w:tc>
      </w:tr>
      <w:tr w:rsidR="008B0FA2" w14:paraId="704DC1A4" w14:textId="77777777" w:rsidTr="000F7C30">
        <w:tc>
          <w:tcPr>
            <w:tcW w:w="1803" w:type="dxa"/>
            <w:vMerge/>
            <w:shd w:val="clear" w:color="auto" w:fill="E0E88E"/>
          </w:tcPr>
          <w:p w14:paraId="12B93E97" w14:textId="77777777" w:rsidR="008B0FA2" w:rsidRPr="000F7C30" w:rsidRDefault="008B0FA2" w:rsidP="000F7C30">
            <w:pPr>
              <w:pStyle w:val="RSCBasictext"/>
              <w:rPr>
                <w:b/>
                <w:bCs/>
                <w:color w:val="006F62"/>
                <w:lang w:eastAsia="en-GB"/>
              </w:rPr>
            </w:pPr>
          </w:p>
        </w:tc>
        <w:tc>
          <w:tcPr>
            <w:tcW w:w="7212" w:type="dxa"/>
            <w:gridSpan w:val="4"/>
          </w:tcPr>
          <w:p w14:paraId="67A2EC3D" w14:textId="77777777" w:rsidR="008B0FA2" w:rsidRDefault="008B0FA2" w:rsidP="000F7C30">
            <w:pPr>
              <w:pStyle w:val="RSCBasictext"/>
              <w:ind w:left="0" w:firstLine="0"/>
              <w:rPr>
                <w:noProof/>
                <w:lang w:eastAsia="en-GB"/>
              </w:rPr>
            </w:pPr>
            <w:r>
              <w:rPr>
                <w:lang w:eastAsia="en-GB"/>
              </w:rPr>
              <w:t>Use after</w:t>
            </w:r>
            <w:r w:rsidRPr="001D6472">
              <w:rPr>
                <w:lang w:eastAsia="en-GB"/>
              </w:rPr>
              <w:t xml:space="preserve"> initial teaching or discussion of </w:t>
            </w:r>
            <w:r>
              <w:rPr>
                <w:lang w:eastAsia="en-GB"/>
              </w:rPr>
              <w:t xml:space="preserve">this topic to develop ideas further. You can also use </w:t>
            </w:r>
            <w:r w:rsidRPr="001D6472">
              <w:rPr>
                <w:lang w:eastAsia="en-GB"/>
              </w:rPr>
              <w:t xml:space="preserve">as </w:t>
            </w:r>
            <w:r>
              <w:rPr>
                <w:lang w:eastAsia="en-GB"/>
              </w:rPr>
              <w:t xml:space="preserve">a </w:t>
            </w:r>
            <w:r w:rsidRPr="001D6472">
              <w:rPr>
                <w:lang w:eastAsia="en-GB"/>
              </w:rPr>
              <w:t>revision activity</w:t>
            </w:r>
            <w:r>
              <w:rPr>
                <w:lang w:eastAsia="en-GB"/>
              </w:rPr>
              <w:t>.</w:t>
            </w:r>
            <w:r w:rsidRPr="001D6472">
              <w:rPr>
                <w:lang w:eastAsia="en-GB"/>
              </w:rPr>
              <w:t xml:space="preserve">  </w:t>
            </w:r>
          </w:p>
        </w:tc>
      </w:tr>
      <w:tr w:rsidR="008B0FA2" w14:paraId="7A1B1246" w14:textId="77777777" w:rsidTr="000F7C30">
        <w:tc>
          <w:tcPr>
            <w:tcW w:w="1803" w:type="dxa"/>
            <w:vMerge w:val="restart"/>
            <w:shd w:val="clear" w:color="auto" w:fill="E0E88E"/>
          </w:tcPr>
          <w:p w14:paraId="720A967A" w14:textId="77777777" w:rsidR="008B0FA2" w:rsidRPr="000F7C30" w:rsidRDefault="008B0FA2" w:rsidP="000F7C30">
            <w:pPr>
              <w:pStyle w:val="RSCBasictext"/>
              <w:ind w:left="0" w:firstLine="0"/>
              <w:rPr>
                <w:color w:val="006F62"/>
                <w:lang w:eastAsia="en-GB"/>
              </w:rPr>
            </w:pPr>
            <w:r w:rsidRPr="000F7C30">
              <w:rPr>
                <w:b/>
                <w:bCs/>
                <w:color w:val="006F62"/>
                <w:lang w:eastAsia="en-GB"/>
              </w:rPr>
              <w:t>Group size?</w:t>
            </w:r>
          </w:p>
        </w:tc>
        <w:tc>
          <w:tcPr>
            <w:tcW w:w="1803" w:type="dxa"/>
          </w:tcPr>
          <w:p w14:paraId="1B3BC7B9" w14:textId="77777777" w:rsidR="008B0FA2" w:rsidRDefault="008B0FA2" w:rsidP="000F7C30">
            <w:pPr>
              <w:pStyle w:val="RSCBasictext"/>
              <w:ind w:left="0" w:firstLine="0"/>
              <w:jc w:val="center"/>
              <w:rPr>
                <w:lang w:eastAsia="en-GB"/>
              </w:rPr>
            </w:pPr>
            <w:r>
              <w:rPr>
                <w:noProof/>
                <w:lang w:eastAsia="en-GB"/>
              </w:rPr>
              <w:drawing>
                <wp:inline distT="0" distB="0" distL="0" distR="0" wp14:anchorId="350E1DC7" wp14:editId="79993AAC">
                  <wp:extent cx="504000" cy="504000"/>
                  <wp:effectExtent l="0" t="0" r="0" b="0"/>
                  <wp:docPr id="2033211384"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Independent</w:t>
            </w:r>
          </w:p>
        </w:tc>
        <w:tc>
          <w:tcPr>
            <w:tcW w:w="1803" w:type="dxa"/>
          </w:tcPr>
          <w:p w14:paraId="5F69D25B" w14:textId="77777777" w:rsidR="008B0FA2" w:rsidRDefault="008B0FA2" w:rsidP="000F7C30">
            <w:pPr>
              <w:pStyle w:val="RSCBasictext"/>
              <w:ind w:left="0" w:firstLine="0"/>
              <w:jc w:val="center"/>
              <w:rPr>
                <w:lang w:eastAsia="en-GB"/>
              </w:rPr>
            </w:pPr>
            <w:r>
              <w:rPr>
                <w:noProof/>
                <w:lang w:eastAsia="en-GB"/>
              </w:rPr>
              <w:drawing>
                <wp:inline distT="0" distB="0" distL="0" distR="0" wp14:anchorId="066CE175" wp14:editId="1A11FA7B">
                  <wp:extent cx="504000" cy="504000"/>
                  <wp:effectExtent l="0" t="0" r="0" b="0"/>
                  <wp:docPr id="283487064"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Small group</w:t>
            </w:r>
          </w:p>
        </w:tc>
        <w:tc>
          <w:tcPr>
            <w:tcW w:w="1803" w:type="dxa"/>
          </w:tcPr>
          <w:p w14:paraId="79B7D834" w14:textId="77777777" w:rsidR="008B0FA2" w:rsidRDefault="008B0FA2" w:rsidP="000F7C30">
            <w:pPr>
              <w:pStyle w:val="RSCBasictext"/>
              <w:ind w:left="0" w:firstLine="0"/>
              <w:jc w:val="center"/>
              <w:rPr>
                <w:lang w:eastAsia="en-GB"/>
              </w:rPr>
            </w:pPr>
            <w:r>
              <w:rPr>
                <w:noProof/>
                <w:lang w:eastAsia="en-GB"/>
              </w:rPr>
              <w:drawing>
                <wp:inline distT="0" distB="0" distL="0" distR="0" wp14:anchorId="3EC30445" wp14:editId="5A879EC3">
                  <wp:extent cx="504000" cy="504000"/>
                  <wp:effectExtent l="0" t="0" r="0" b="0"/>
                  <wp:docPr id="1130638166"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Whole class</w:t>
            </w:r>
          </w:p>
        </w:tc>
        <w:tc>
          <w:tcPr>
            <w:tcW w:w="1803" w:type="dxa"/>
          </w:tcPr>
          <w:p w14:paraId="1CEE395B" w14:textId="77777777" w:rsidR="008B0FA2" w:rsidRDefault="008B0FA2" w:rsidP="000F7C30">
            <w:pPr>
              <w:pStyle w:val="RSCBasictext"/>
              <w:ind w:left="0" w:firstLine="0"/>
              <w:jc w:val="center"/>
              <w:rPr>
                <w:lang w:eastAsia="en-GB"/>
              </w:rPr>
            </w:pPr>
            <w:r>
              <w:rPr>
                <w:noProof/>
                <w:lang w:eastAsia="en-GB"/>
              </w:rPr>
              <w:drawing>
                <wp:inline distT="0" distB="0" distL="0" distR="0" wp14:anchorId="1FE2748F" wp14:editId="4D9E63FF">
                  <wp:extent cx="504000" cy="504000"/>
                  <wp:effectExtent l="0" t="0" r="0" b="0"/>
                  <wp:docPr id="845546335"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Homework</w:t>
            </w:r>
          </w:p>
        </w:tc>
      </w:tr>
      <w:tr w:rsidR="008B0FA2" w14:paraId="7076AF99" w14:textId="77777777" w:rsidTr="000F7C30">
        <w:tc>
          <w:tcPr>
            <w:tcW w:w="1803" w:type="dxa"/>
            <w:vMerge/>
            <w:shd w:val="clear" w:color="auto" w:fill="E0E88E"/>
          </w:tcPr>
          <w:p w14:paraId="7B990CCC" w14:textId="77777777" w:rsidR="008B0FA2" w:rsidRPr="000F7C30" w:rsidRDefault="008B0FA2" w:rsidP="000F7C30">
            <w:pPr>
              <w:pStyle w:val="RSCBasictext"/>
              <w:rPr>
                <w:b/>
                <w:bCs/>
                <w:color w:val="006F62"/>
                <w:lang w:eastAsia="en-GB"/>
              </w:rPr>
            </w:pPr>
          </w:p>
        </w:tc>
        <w:tc>
          <w:tcPr>
            <w:tcW w:w="7212" w:type="dxa"/>
            <w:gridSpan w:val="4"/>
          </w:tcPr>
          <w:p w14:paraId="398CFA9A" w14:textId="77777777" w:rsidR="008B0FA2" w:rsidRDefault="008B0FA2" w:rsidP="000F7C30">
            <w:pPr>
              <w:pStyle w:val="RSCBasictext"/>
              <w:ind w:left="0" w:firstLine="0"/>
              <w:rPr>
                <w:noProof/>
                <w:lang w:eastAsia="en-GB"/>
              </w:rPr>
            </w:pPr>
            <w:r>
              <w:rPr>
                <w:lang w:eastAsia="en-GB"/>
              </w:rPr>
              <w:t>Suitable</w:t>
            </w:r>
            <w:r w:rsidRPr="001D6472">
              <w:rPr>
                <w:lang w:eastAsia="en-GB"/>
              </w:rPr>
              <w:t xml:space="preserve"> for independent work</w:t>
            </w:r>
            <w:r>
              <w:rPr>
                <w:lang w:eastAsia="en-GB"/>
              </w:rPr>
              <w:t xml:space="preserve"> either in class or at home. Or use the questions for </w:t>
            </w:r>
            <w:r w:rsidRPr="001D6472">
              <w:rPr>
                <w:lang w:eastAsia="en-GB"/>
              </w:rPr>
              <w:t>group or class discussions.</w:t>
            </w:r>
          </w:p>
        </w:tc>
      </w:tr>
      <w:tr w:rsidR="008B0FA2" w14:paraId="32E7DCE0" w14:textId="77777777" w:rsidTr="000F7C30">
        <w:tc>
          <w:tcPr>
            <w:tcW w:w="1803" w:type="dxa"/>
            <w:shd w:val="clear" w:color="auto" w:fill="E0E88E"/>
          </w:tcPr>
          <w:p w14:paraId="143B6FA1" w14:textId="77777777" w:rsidR="008B0FA2" w:rsidRPr="000F7C30" w:rsidRDefault="008B0FA2" w:rsidP="000F7C30">
            <w:pPr>
              <w:pStyle w:val="RSCBasictext"/>
              <w:ind w:left="0" w:firstLine="0"/>
              <w:rPr>
                <w:color w:val="006F62"/>
                <w:lang w:eastAsia="en-GB"/>
              </w:rPr>
            </w:pPr>
            <w:r w:rsidRPr="000F7C30">
              <w:rPr>
                <w:b/>
                <w:bCs/>
                <w:color w:val="006F62"/>
                <w:lang w:eastAsia="en-GB"/>
              </w:rPr>
              <w:t>How long?</w:t>
            </w:r>
          </w:p>
        </w:tc>
        <w:tc>
          <w:tcPr>
            <w:tcW w:w="3606" w:type="dxa"/>
            <w:gridSpan w:val="2"/>
            <w:vAlign w:val="center"/>
          </w:tcPr>
          <w:p w14:paraId="47362E75" w14:textId="77777777" w:rsidR="008B0FA2" w:rsidRDefault="008B0FA2" w:rsidP="000F7C30">
            <w:pPr>
              <w:pStyle w:val="RSCBasictext"/>
              <w:ind w:left="0" w:firstLine="0"/>
              <w:jc w:val="center"/>
              <w:rPr>
                <w:lang w:eastAsia="en-GB"/>
              </w:rPr>
            </w:pPr>
            <w:r>
              <w:rPr>
                <w:noProof/>
                <w:lang w:eastAsia="en-GB"/>
              </w:rPr>
              <w:drawing>
                <wp:inline distT="0" distB="0" distL="0" distR="0" wp14:anchorId="506F0381" wp14:editId="4DE64BD9">
                  <wp:extent cx="504000" cy="504000"/>
                  <wp:effectExtent l="0" t="0" r="0" b="0"/>
                  <wp:docPr id="2120542953" name="Graphic 13"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r>
              <w:rPr>
                <w:noProof/>
                <w:lang w:eastAsia="en-GB"/>
              </w:rPr>
              <w:drawing>
                <wp:inline distT="0" distB="0" distL="0" distR="0" wp14:anchorId="16F89176" wp14:editId="58F1163C">
                  <wp:extent cx="236220" cy="502920"/>
                  <wp:effectExtent l="0" t="0" r="0" b="0"/>
                  <wp:docPr id="2059032733" name="Graphic 1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31">
                            <a:extLst>
                              <a:ext uri="{96DAC541-7B7A-43D3-8B79-37D633B846F1}">
                                <asvg:svgBlip xmlns:asvg="http://schemas.microsoft.com/office/drawing/2016/SVG/main" r:embed="rId32"/>
                              </a:ext>
                            </a:extLst>
                          </a:blip>
                          <a:stretch>
                            <a:fillRect/>
                          </a:stretch>
                        </pic:blipFill>
                        <pic:spPr>
                          <a:xfrm>
                            <a:off x="0" y="0"/>
                            <a:ext cx="237924" cy="506548"/>
                          </a:xfrm>
                          <a:prstGeom prst="rect">
                            <a:avLst/>
                          </a:prstGeom>
                        </pic:spPr>
                      </pic:pic>
                    </a:graphicData>
                  </a:graphic>
                </wp:inline>
              </w:drawing>
            </w:r>
            <w:r>
              <w:rPr>
                <w:noProof/>
                <w:lang w:eastAsia="en-GB"/>
              </w:rPr>
              <w:drawing>
                <wp:inline distT="0" distB="0" distL="0" distR="0" wp14:anchorId="33EEE8BE" wp14:editId="6F639EE8">
                  <wp:extent cx="504000" cy="504000"/>
                  <wp:effectExtent l="0" t="0" r="0" b="0"/>
                  <wp:docPr id="901378229" name="Graphic 12"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901378229" descr="Stopwatch 50%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04A11679" w14:textId="77777777" w:rsidR="008B0FA2" w:rsidRDefault="008B0FA2" w:rsidP="000F7C30">
            <w:pPr>
              <w:pStyle w:val="RSCBasictext"/>
              <w:ind w:left="0" w:firstLine="0"/>
              <w:jc w:val="center"/>
              <w:rPr>
                <w:lang w:eastAsia="en-GB"/>
              </w:rPr>
            </w:pPr>
            <w:r w:rsidRPr="00372BE1">
              <w:t>15</w:t>
            </w:r>
            <w:r>
              <w:t>–</w:t>
            </w:r>
            <w:r w:rsidRPr="00372BE1">
              <w:t>30 mins</w:t>
            </w:r>
          </w:p>
        </w:tc>
      </w:tr>
      <w:bookmarkEnd w:id="1"/>
    </w:tbl>
    <w:p w14:paraId="5CBCCF4F" w14:textId="77777777" w:rsidR="008B0FA2" w:rsidRDefault="008B0FA2" w:rsidP="004102F1">
      <w:pPr>
        <w:pStyle w:val="RSCH2"/>
      </w:pPr>
    </w:p>
    <w:p w14:paraId="5C05216B" w14:textId="77777777" w:rsidR="00C6243B" w:rsidRDefault="00C6243B" w:rsidP="00C6243B">
      <w:pPr>
        <w:pStyle w:val="RSCH2"/>
        <w:rPr>
          <w:lang w:eastAsia="en-GB"/>
        </w:rPr>
      </w:pPr>
      <w:bookmarkStart w:id="2" w:name="_Hlk178612762"/>
      <w:r>
        <w:rPr>
          <w:lang w:eastAsia="en-GB"/>
        </w:rPr>
        <w:lastRenderedPageBreak/>
        <w:t>Johnstone’s triangle</w:t>
      </w:r>
    </w:p>
    <w:p w14:paraId="4BDFE435" w14:textId="0023CA3C" w:rsidR="00C6243B" w:rsidRDefault="00C6243B" w:rsidP="00C6243B">
      <w:pPr>
        <w:pStyle w:val="RSCBasictext"/>
        <w:rPr>
          <w:lang w:eastAsia="en-GB"/>
        </w:rPr>
      </w:pPr>
      <w:r>
        <w:t xml:space="preserve">Johnstone’s triangle is a model of the three different conceptual levels in chemistry: macroscopic, </w:t>
      </w:r>
      <w:r w:rsidR="6E198869">
        <w:t xml:space="preserve">sub-microscopic and </w:t>
      </w:r>
      <w:r>
        <w:t xml:space="preserve">symbolic. </w:t>
      </w:r>
      <w:r w:rsidRPr="1273A116">
        <w:rPr>
          <w:lang w:eastAsia="en-GB"/>
        </w:rPr>
        <w:t>You can use Johnstone’s triangle to build a secure understanding of chemical ideas for your learners.</w:t>
      </w:r>
    </w:p>
    <w:p w14:paraId="67429307" w14:textId="2350DAA2" w:rsidR="00C6243B" w:rsidRDefault="00C6243B" w:rsidP="00C6243B">
      <w:pPr>
        <w:pStyle w:val="RSCBasictext"/>
        <w:rPr>
          <w:rStyle w:val="Hyperlink"/>
          <w:color w:val="C00000"/>
        </w:rPr>
      </w:pPr>
      <w:r w:rsidRPr="067BA781">
        <w:rPr>
          <w:lang w:eastAsia="en-GB"/>
        </w:rPr>
        <w:t xml:space="preserve">Find further reading about Johnstone’s triangle and how to use it in your teaching at </w:t>
      </w:r>
      <w:hyperlink r:id="rId35" w:history="1">
        <w:r w:rsidR="00256CE0" w:rsidRPr="00256CE0">
          <w:rPr>
            <w:rStyle w:val="Hyperlink"/>
            <w:color w:val="006F62"/>
          </w:rPr>
          <w:t>rsc.li/3Fvrn2I</w:t>
        </w:r>
      </w:hyperlink>
      <w:r w:rsidR="4193864A" w:rsidRPr="005E064E">
        <w:rPr>
          <w:rStyle w:val="Hyperlink"/>
          <w:color w:val="auto"/>
          <w:u w:val="none"/>
        </w:rPr>
        <w:t>.</w:t>
      </w:r>
      <w:bookmarkStart w:id="3" w:name="_Hlk174103695"/>
    </w:p>
    <w:bookmarkEnd w:id="2"/>
    <w:p w14:paraId="000F6237" w14:textId="77777777" w:rsidR="00C6243B" w:rsidRPr="002559F3" w:rsidRDefault="00C6243B" w:rsidP="00C6243B">
      <w:pPr>
        <w:pStyle w:val="RSCH3"/>
      </w:pPr>
      <w:r w:rsidRPr="000F7C30">
        <w:rPr>
          <w:rStyle w:val="Hyperlink"/>
          <w:color w:val="006F62"/>
          <w:u w:val="none"/>
        </w:rPr>
        <w:t>Johnstone’s triangle and this resource</w:t>
      </w:r>
    </w:p>
    <w:bookmarkEnd w:id="3"/>
    <w:p w14:paraId="69379652" w14:textId="77777777" w:rsidR="00C6243B" w:rsidRDefault="00C6243B" w:rsidP="00C6243B">
      <w:pPr>
        <w:pStyle w:val="RSCBasictext"/>
        <w:spacing w:after="0"/>
      </w:pPr>
      <w:r w:rsidRPr="00370DCF">
        <w:t>The icons in the margin indicate which level of understanding each question is developing to help prompt learners in their thinking.</w:t>
      </w:r>
    </w:p>
    <w:p w14:paraId="148EA66E" w14:textId="46C16E64" w:rsidR="00C6243B" w:rsidRDefault="00C6243B" w:rsidP="00C6243B">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C6243B" w14:paraId="281280D3" w14:textId="77777777" w:rsidTr="007A581D">
        <w:trPr>
          <w:trHeight w:val="737"/>
        </w:trPr>
        <w:tc>
          <w:tcPr>
            <w:tcW w:w="988" w:type="dxa"/>
            <w:vAlign w:val="center"/>
          </w:tcPr>
          <w:p w14:paraId="3F937485" w14:textId="25C55841" w:rsidR="00C6243B" w:rsidRDefault="00542927" w:rsidP="007A581D">
            <w:pPr>
              <w:pStyle w:val="RSCBasictext"/>
              <w:spacing w:after="0"/>
              <w:ind w:left="0" w:firstLine="0"/>
              <w:jc w:val="center"/>
            </w:pPr>
            <w:r>
              <w:rPr>
                <w:noProof/>
                <w:lang w:eastAsia="en-GB"/>
              </w:rPr>
              <w:drawing>
                <wp:inline distT="0" distB="0" distL="0" distR="0" wp14:anchorId="1ED77B73" wp14:editId="4BA7A958">
                  <wp:extent cx="396000" cy="396000"/>
                  <wp:effectExtent l="0" t="0" r="4445" b="4445"/>
                  <wp:docPr id="1679972344" name="Picture 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49225" name="Picture 1" descr="An icon used to indicate the Macroscopic part of Johnstone's triangl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16E9F2C0" w14:textId="5E94348C" w:rsidR="00C6243B" w:rsidRDefault="00C6243B" w:rsidP="000F7C30">
            <w:pPr>
              <w:pStyle w:val="RSCBasictext"/>
              <w:spacing w:after="0"/>
              <w:ind w:left="0" w:firstLine="0"/>
            </w:pPr>
            <w:r w:rsidRPr="000F7C30">
              <w:rPr>
                <w:b/>
                <w:bCs/>
                <w:color w:val="006F62"/>
              </w:rPr>
              <w:t>Macroscopic:</w:t>
            </w:r>
            <w:r w:rsidRPr="000F7C30">
              <w:rPr>
                <w:color w:val="006F62"/>
              </w:rPr>
              <w:t xml:space="preserve"> </w:t>
            </w:r>
            <w:r>
              <w:t>what we can see. Think about the properties that we can observe, measure and record.</w:t>
            </w:r>
          </w:p>
        </w:tc>
      </w:tr>
      <w:tr w:rsidR="00C6243B" w14:paraId="139C3BD4" w14:textId="77777777" w:rsidTr="007A581D">
        <w:trPr>
          <w:trHeight w:val="737"/>
        </w:trPr>
        <w:tc>
          <w:tcPr>
            <w:tcW w:w="988" w:type="dxa"/>
            <w:vAlign w:val="center"/>
          </w:tcPr>
          <w:p w14:paraId="68E4E6A8" w14:textId="0B5D25B9" w:rsidR="00C6243B" w:rsidRDefault="00A059F9" w:rsidP="007A581D">
            <w:pPr>
              <w:pStyle w:val="RSCBasictext"/>
              <w:spacing w:after="0"/>
              <w:ind w:left="0" w:firstLine="0"/>
              <w:jc w:val="center"/>
            </w:pPr>
            <w:r>
              <w:rPr>
                <w:noProof/>
                <w:lang w:eastAsia="en-GB"/>
              </w:rPr>
              <w:drawing>
                <wp:inline distT="0" distB="0" distL="0" distR="0" wp14:anchorId="0F7CD06C" wp14:editId="42548B23">
                  <wp:extent cx="396000" cy="396000"/>
                  <wp:effectExtent l="0" t="0" r="4445" b="4445"/>
                  <wp:docPr id="1324314289" name="Picture 1"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14289" name="Picture 1" descr="An icon used to indicate the Sub-microscopic part of Johnstone's triangl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3071AA3A" w14:textId="77777777" w:rsidR="00C6243B" w:rsidRDefault="00C6243B" w:rsidP="000F7C30">
            <w:pPr>
              <w:pStyle w:val="RSCBasictext"/>
              <w:spacing w:after="0"/>
              <w:ind w:left="0" w:firstLine="0"/>
            </w:pPr>
            <w:r w:rsidRPr="000F7C30">
              <w:rPr>
                <w:b/>
                <w:bCs/>
                <w:color w:val="006F62"/>
              </w:rPr>
              <w:t>Sub-microscopic:</w:t>
            </w:r>
            <w:r w:rsidRPr="000F7C30">
              <w:rPr>
                <w:color w:val="006F62"/>
              </w:rPr>
              <w:t xml:space="preserve"> </w:t>
            </w:r>
            <w:r>
              <w:t xml:space="preserve">smaller than we can see. </w:t>
            </w:r>
            <w:r w:rsidRPr="00C528FD">
              <w:t>Think about the particle or atomic level.</w:t>
            </w:r>
          </w:p>
        </w:tc>
      </w:tr>
      <w:tr w:rsidR="00C6243B" w14:paraId="346455FF" w14:textId="77777777" w:rsidTr="007A581D">
        <w:trPr>
          <w:trHeight w:val="737"/>
        </w:trPr>
        <w:tc>
          <w:tcPr>
            <w:tcW w:w="988" w:type="dxa"/>
            <w:vAlign w:val="center"/>
          </w:tcPr>
          <w:p w14:paraId="6BAFF5CD" w14:textId="5EB97AB8" w:rsidR="00C6243B" w:rsidRDefault="007A581D" w:rsidP="007A581D">
            <w:pPr>
              <w:pStyle w:val="RSCBasictext"/>
              <w:spacing w:after="0"/>
              <w:ind w:left="0" w:firstLine="0"/>
              <w:jc w:val="center"/>
            </w:pPr>
            <w:r>
              <w:rPr>
                <w:noProof/>
                <w:lang w:eastAsia="en-GB"/>
              </w:rPr>
              <w:drawing>
                <wp:inline distT="0" distB="0" distL="0" distR="0" wp14:anchorId="0CA5D9F6" wp14:editId="51A7622C">
                  <wp:extent cx="396000" cy="396000"/>
                  <wp:effectExtent l="0" t="0" r="4445" b="4445"/>
                  <wp:docPr id="12919426" name="Picture 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426" name="Picture 1" descr="An icon used to indicate the Symbolic part of Johnstone's triangl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5875A5BE" w14:textId="77777777" w:rsidR="00C6243B" w:rsidRDefault="00C6243B" w:rsidP="000F7C30">
            <w:pPr>
              <w:pStyle w:val="RSCBasictext"/>
              <w:spacing w:after="0"/>
              <w:ind w:left="0" w:firstLine="0"/>
            </w:pPr>
            <w:r w:rsidRPr="000F7C30">
              <w:rPr>
                <w:b/>
                <w:bCs/>
                <w:color w:val="006F62"/>
              </w:rPr>
              <w:t>Symbolic:</w:t>
            </w:r>
            <w:r w:rsidRPr="000F7C30">
              <w:rPr>
                <w:color w:val="006F62"/>
              </w:rPr>
              <w:t xml:space="preserve"> </w:t>
            </w:r>
            <w:r w:rsidRPr="00C528FD">
              <w:t xml:space="preserve">representations. Think about </w:t>
            </w:r>
            <w:r>
              <w:t>how we represent chemical ideas including symbols and diagrams</w:t>
            </w:r>
            <w:r w:rsidRPr="00C528FD">
              <w:t>.</w:t>
            </w:r>
          </w:p>
        </w:tc>
      </w:tr>
    </w:tbl>
    <w:p w14:paraId="0843E7AA" w14:textId="77777777" w:rsidR="00C6243B" w:rsidRDefault="00C6243B" w:rsidP="00C6243B">
      <w:pPr>
        <w:pStyle w:val="RSCBasictext"/>
        <w:spacing w:after="0"/>
      </w:pPr>
    </w:p>
    <w:p w14:paraId="301B17EF" w14:textId="6158B981" w:rsidR="00C6243B" w:rsidRDefault="00C6243B" w:rsidP="00C6243B">
      <w:pPr>
        <w:pStyle w:val="RSCBasictext"/>
      </w:pPr>
      <w:r>
        <w:t>The levels are interrelated, for example, learners need visual representation of the sub-microscopic to develop mental models of the particle or atomic level. Our approach has been to apply icons to questions based on what the learners should be thinking about.</w:t>
      </w:r>
    </w:p>
    <w:p w14:paraId="2FFC6BA0" w14:textId="77777777" w:rsidR="00302413" w:rsidRDefault="00302413" w:rsidP="00302413">
      <w:pPr>
        <w:pStyle w:val="RSCBasictext"/>
      </w:pPr>
      <w:r w:rsidRPr="00367414">
        <w:t>Questions may be marked with two or all three icons</w:t>
      </w:r>
      <w:r>
        <w:t>,</w:t>
      </w:r>
      <w:r w:rsidRPr="00367414">
        <w:t xml:space="preserve"> indicating that learners will be </w:t>
      </w:r>
      <w:r>
        <w:t>thinking</w:t>
      </w:r>
      <w:r w:rsidRPr="00367414">
        <w:t xml:space="preserve"> at more than one level.</w:t>
      </w:r>
      <w:r>
        <w:t xml:space="preserve"> However, </w:t>
      </w:r>
      <w:r w:rsidRPr="00367414">
        <w:t>individual part</w:t>
      </w:r>
      <w:r>
        <w:t>s of the question</w:t>
      </w:r>
      <w:r w:rsidRPr="00367414">
        <w:t xml:space="preserve"> may require learners to think about </w:t>
      </w:r>
      <w:r>
        <w:t xml:space="preserve">only </w:t>
      </w:r>
      <w:r w:rsidRPr="00367414">
        <w:t>one or two specific levels</w:t>
      </w:r>
      <w:r>
        <w:t xml:space="preserve"> at a time</w:t>
      </w:r>
      <w:r w:rsidRPr="00367414">
        <w:t>.</w:t>
      </w:r>
      <w:r>
        <w:t xml:space="preserve"> </w:t>
      </w:r>
    </w:p>
    <w:p w14:paraId="01B99BAA" w14:textId="77777777" w:rsidR="00302413" w:rsidRDefault="00302413" w:rsidP="00302413">
      <w:pPr>
        <w:pStyle w:val="RSCH2"/>
        <w:spacing w:before="240"/>
        <w:rPr>
          <w:lang w:eastAsia="en-GB"/>
        </w:rPr>
      </w:pPr>
      <w:r>
        <w:rPr>
          <w:lang w:eastAsia="en-GB"/>
        </w:rPr>
        <w:t>Support</w:t>
      </w:r>
    </w:p>
    <w:p w14:paraId="4895879F" w14:textId="77777777" w:rsidR="00302413" w:rsidRDefault="00302413" w:rsidP="00302413">
      <w:pPr>
        <w:pStyle w:val="RSC2-columntabs"/>
        <w:rPr>
          <w:lang w:eastAsia="en-GB"/>
        </w:rPr>
      </w:pPr>
      <w:r w:rsidRPr="001D6472">
        <w:rPr>
          <w:lang w:eastAsia="en-GB"/>
        </w:rPr>
        <w:t>Th</w:t>
      </w:r>
      <w:r>
        <w:rPr>
          <w:lang w:eastAsia="en-GB"/>
        </w:rPr>
        <w:t>is worksheet is ramped so that the</w:t>
      </w:r>
      <w:r w:rsidRPr="001D6472">
        <w:rPr>
          <w:lang w:eastAsia="en-GB"/>
        </w:rPr>
        <w:t xml:space="preserve"> earlier questions are </w:t>
      </w:r>
      <w:r>
        <w:rPr>
          <w:lang w:eastAsia="en-GB"/>
        </w:rPr>
        <w:t xml:space="preserve">more </w:t>
      </w:r>
      <w:r w:rsidRPr="001D6472">
        <w:rPr>
          <w:lang w:eastAsia="en-GB"/>
        </w:rPr>
        <w:t xml:space="preserve">accessible. The activity becomes more challenging in the later </w:t>
      </w:r>
      <w:r>
        <w:rPr>
          <w:lang w:eastAsia="en-GB"/>
        </w:rPr>
        <w:t>questions</w:t>
      </w:r>
      <w:r w:rsidRPr="001D6472">
        <w:rPr>
          <w:lang w:eastAsia="en-GB"/>
        </w:rPr>
        <w:t xml:space="preserve">. </w:t>
      </w:r>
      <w:r>
        <w:rPr>
          <w:lang w:eastAsia="en-GB"/>
        </w:rPr>
        <w:t>You can</w:t>
      </w:r>
      <w:r w:rsidRPr="001D6472">
        <w:rPr>
          <w:lang w:eastAsia="en-GB"/>
        </w:rPr>
        <w:t xml:space="preserve"> give extra explanations for the more challenging questions.</w:t>
      </w:r>
      <w:r>
        <w:rPr>
          <w:lang w:eastAsia="en-GB"/>
        </w:rPr>
        <w:t xml:space="preserve"> </w:t>
      </w:r>
      <w:r w:rsidRPr="001D6472">
        <w:rPr>
          <w:lang w:eastAsia="en-GB"/>
        </w:rPr>
        <w:t>If c</w:t>
      </w:r>
      <w:r>
        <w:rPr>
          <w:lang w:eastAsia="en-GB"/>
        </w:rPr>
        <w:t>o</w:t>
      </w:r>
      <w:r w:rsidRPr="001D6472">
        <w:rPr>
          <w:lang w:eastAsia="en-GB"/>
        </w:rPr>
        <w:t xml:space="preserve">mpleting as an in-class activity it </w:t>
      </w:r>
      <w:r>
        <w:rPr>
          <w:lang w:eastAsia="en-GB"/>
        </w:rPr>
        <w:t>is</w:t>
      </w:r>
      <w:r w:rsidRPr="001D6472">
        <w:rPr>
          <w:lang w:eastAsia="en-GB"/>
        </w:rPr>
        <w:t xml:space="preserve"> best to pause and check</w:t>
      </w:r>
      <w:r>
        <w:rPr>
          <w:lang w:eastAsia="en-GB"/>
        </w:rPr>
        <w:t xml:space="preserve"> understanding</w:t>
      </w:r>
      <w:r w:rsidRPr="001D6472">
        <w:rPr>
          <w:lang w:eastAsia="en-GB"/>
        </w:rPr>
        <w:t xml:space="preserve"> at intervals, as often one question builds on the previous one. </w:t>
      </w:r>
    </w:p>
    <w:p w14:paraId="2B80C7D1" w14:textId="132C291E" w:rsidR="00302413" w:rsidRDefault="00302413" w:rsidP="00302413">
      <w:pPr>
        <w:pStyle w:val="RSCBasictext"/>
        <w:rPr>
          <w:lang w:eastAsia="en-GB"/>
        </w:rPr>
      </w:pPr>
      <w:r w:rsidRPr="00367414">
        <w:t xml:space="preserve">It </w:t>
      </w:r>
      <w:r>
        <w:t xml:space="preserve">is </w:t>
      </w:r>
      <w:r w:rsidRPr="00367414">
        <w:rPr>
          <w:lang w:eastAsia="en-GB"/>
        </w:rPr>
        <w:t xml:space="preserve">useful for learners to observe macroscopic </w:t>
      </w:r>
      <w:r w:rsidRPr="00E10EFE">
        <w:rPr>
          <w:lang w:eastAsia="en-GB"/>
        </w:rPr>
        <w:t>properties first-hand. You could circulate examples of substances in the classroom, run a class practical of a chemical reaction or show a teacher demonstration of properties.</w:t>
      </w:r>
      <w:r>
        <w:rPr>
          <w:lang w:eastAsia="en-GB"/>
        </w:rPr>
        <w:t xml:space="preserve"> </w:t>
      </w:r>
      <w:r w:rsidR="00082A52">
        <w:rPr>
          <w:lang w:eastAsia="en-GB"/>
        </w:rPr>
        <w:t>We recommend:</w:t>
      </w:r>
    </w:p>
    <w:p w14:paraId="19AF12CF" w14:textId="1BC38BFD" w:rsidR="00082A52" w:rsidRDefault="00082A52" w:rsidP="001C7D03">
      <w:pPr>
        <w:pStyle w:val="RSCBulletedlist"/>
      </w:pPr>
      <w:r>
        <w:t xml:space="preserve">Watch an </w:t>
      </w:r>
      <w:r w:rsidRPr="00B94641">
        <w:rPr>
          <w:i/>
          <w:iCs/>
        </w:rPr>
        <w:t>Exhibition chemistry</w:t>
      </w:r>
      <w:r>
        <w:t xml:space="preserve"> video and download instructions to demonstrate th</w:t>
      </w:r>
      <w:r>
        <w:t xml:space="preserve">e </w:t>
      </w:r>
      <w:r>
        <w:t xml:space="preserve">experiment </w:t>
      </w:r>
      <w:r>
        <w:t xml:space="preserve">in Question 1 </w:t>
      </w:r>
      <w:r>
        <w:t xml:space="preserve">from: </w:t>
      </w:r>
      <w:hyperlink r:id="rId39" w:history="1">
        <w:r w:rsidRPr="00D3584B">
          <w:rPr>
            <w:rStyle w:val="Hyperlink"/>
            <w:color w:val="006F62"/>
          </w:rPr>
          <w:t>rsc.li/3IuFDty</w:t>
        </w:r>
      </w:hyperlink>
      <w:r w:rsidRPr="00D3584B">
        <w:rPr>
          <w:color w:val="006F62"/>
        </w:rPr>
        <w:t xml:space="preserve"> </w:t>
      </w:r>
    </w:p>
    <w:p w14:paraId="404106CF" w14:textId="15993F70" w:rsidR="00082A52" w:rsidRDefault="001603D6" w:rsidP="001C7D03">
      <w:pPr>
        <w:pStyle w:val="RSCBulletedlist"/>
        <w:rPr>
          <w:lang w:eastAsia="en-GB"/>
        </w:rPr>
      </w:pPr>
      <w:r>
        <w:t xml:space="preserve">Ensure learners are </w:t>
      </w:r>
      <w:r>
        <w:t xml:space="preserve">familiar with observing microscale </w:t>
      </w:r>
      <w:r>
        <w:t xml:space="preserve">diffusion </w:t>
      </w:r>
      <w:r>
        <w:t xml:space="preserve">reactions </w:t>
      </w:r>
      <w:r>
        <w:t xml:space="preserve">with these integrated </w:t>
      </w:r>
      <w:r>
        <w:t>instructions and a video of th</w:t>
      </w:r>
      <w:r>
        <w:t>e</w:t>
      </w:r>
      <w:r>
        <w:t xml:space="preserve"> reaction</w:t>
      </w:r>
      <w:r>
        <w:t xml:space="preserve"> in Question 2,</w:t>
      </w:r>
      <w:r>
        <w:t xml:space="preserve"> </w:t>
      </w:r>
      <w:r>
        <w:t xml:space="preserve">available </w:t>
      </w:r>
      <w:r>
        <w:t xml:space="preserve">from: </w:t>
      </w:r>
      <w:hyperlink r:id="rId40" w:history="1">
        <w:r w:rsidRPr="009039F6">
          <w:rPr>
            <w:rStyle w:val="Hyperlink"/>
            <w:color w:val="006F62"/>
          </w:rPr>
          <w:t>rsc.li/4euQ3W2</w:t>
        </w:r>
      </w:hyperlink>
    </w:p>
    <w:p w14:paraId="385D9FE4" w14:textId="77777777" w:rsidR="00302413" w:rsidRDefault="00302413" w:rsidP="00302413">
      <w:pPr>
        <w:pStyle w:val="RSCBasictext"/>
        <w:rPr>
          <w:lang w:eastAsia="en-GB"/>
        </w:rPr>
      </w:pPr>
      <w:r>
        <w:lastRenderedPageBreak/>
        <w:t xml:space="preserve">Additional support may be needed for any learners still lacking in confidence in the required symbolic representation, for example by sharing and explaining a diagram or a </w:t>
      </w:r>
      <w:r>
        <w:rPr>
          <w:lang w:eastAsia="en-GB"/>
        </w:rPr>
        <w:t>simulation that can show movement of the particles.</w:t>
      </w:r>
    </w:p>
    <w:p w14:paraId="793EAF71" w14:textId="6BB525B6" w:rsidR="001A4551" w:rsidRPr="00B23F3F" w:rsidRDefault="0071281E" w:rsidP="00303073">
      <w:pPr>
        <w:pStyle w:val="RSCH2"/>
      </w:pPr>
      <w:r w:rsidRPr="0071281E">
        <w:rPr>
          <w:noProof/>
        </w:rPr>
        <w:drawing>
          <wp:anchor distT="0" distB="0" distL="114300" distR="114300" simplePos="0" relativeHeight="251665408" behindDoc="0" locked="0" layoutInCell="1" allowOverlap="1" wp14:anchorId="4EBB0C4A" wp14:editId="1F74B500">
            <wp:simplePos x="0" y="0"/>
            <wp:positionH relativeFrom="leftMargin">
              <wp:align>right</wp:align>
            </wp:positionH>
            <wp:positionV relativeFrom="paragraph">
              <wp:posOffset>347073</wp:posOffset>
            </wp:positionV>
            <wp:extent cx="360000" cy="360000"/>
            <wp:effectExtent l="0" t="0" r="2540" b="2540"/>
            <wp:wrapNone/>
            <wp:docPr id="983186322" name="Picture 1" descr="An icon indicating that Question 1 uses Macroscopic and Sub-mi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86322" name="Picture 1" descr="An icon indicating that Question 1 uses Macroscopic and Sub-microscopic levels of thinki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8540CC">
        <w:t>Answers</w:t>
      </w:r>
    </w:p>
    <w:p w14:paraId="4804C3F0" w14:textId="01386631" w:rsidR="00FB7A7C" w:rsidRPr="00FB7A7C" w:rsidRDefault="00F32183" w:rsidP="0071281E">
      <w:pPr>
        <w:pStyle w:val="RSCnumberedlist"/>
      </w:pPr>
      <w:r w:rsidRPr="004B5C80">
        <w:rPr>
          <w:i/>
          <w:iCs/>
          <w:color w:val="006F62"/>
        </w:rPr>
        <w:t>Guidance</w:t>
      </w:r>
      <w:r w:rsidRPr="067BA781">
        <w:rPr>
          <w:i/>
          <w:iCs/>
          <w:color w:val="006F62"/>
        </w:rPr>
        <w:t xml:space="preserve"> note: </w:t>
      </w:r>
      <w:r w:rsidR="00A20CA9">
        <w:t>This question develops learners’ understanding of the dif</w:t>
      </w:r>
      <w:r w:rsidR="00254431">
        <w:t>fusion of gases in terms of particles (sub-microscopic understanding) and the observation of this in terms of two diffusing gases meeting and reacting to form a visible white solid (macroscopic understanding</w:t>
      </w:r>
      <w:r w:rsidR="00612D07">
        <w:t>).</w:t>
      </w:r>
      <w:r w:rsidR="00612D07" w:rsidRPr="067BA781">
        <w:rPr>
          <w:i/>
          <w:iCs/>
        </w:rPr>
        <w:t xml:space="preserve"> </w:t>
      </w:r>
    </w:p>
    <w:p w14:paraId="5B2FC1D7" w14:textId="0472DD8C" w:rsidR="00D3584B" w:rsidRPr="000362E2" w:rsidRDefault="00432A96" w:rsidP="000362E2">
      <w:pPr>
        <w:pStyle w:val="RSCnumberedlist"/>
        <w:numPr>
          <w:ilvl w:val="0"/>
          <w:numId w:val="0"/>
        </w:numPr>
        <w:ind w:left="360"/>
      </w:pPr>
      <w:r>
        <w:t>Watch a</w:t>
      </w:r>
      <w:r w:rsidR="00B94641">
        <w:t xml:space="preserve">n </w:t>
      </w:r>
      <w:r w:rsidR="00B94641" w:rsidRPr="00B94641">
        <w:rPr>
          <w:i/>
          <w:iCs/>
        </w:rPr>
        <w:t>Exhibition chemistry</w:t>
      </w:r>
      <w:r w:rsidR="00471558">
        <w:t xml:space="preserve"> video and </w:t>
      </w:r>
      <w:r>
        <w:t xml:space="preserve">download </w:t>
      </w:r>
      <w:r w:rsidR="00471558">
        <w:t xml:space="preserve">instructions </w:t>
      </w:r>
      <w:r w:rsidR="00D3584B">
        <w:t>to</w:t>
      </w:r>
      <w:r w:rsidR="00471558">
        <w:t xml:space="preserve"> demonstrat</w:t>
      </w:r>
      <w:r w:rsidR="00D3584B">
        <w:t>e</w:t>
      </w:r>
      <w:r w:rsidR="00471558">
        <w:t xml:space="preserve"> this experiment </w:t>
      </w:r>
      <w:r w:rsidR="00B9514F">
        <w:t xml:space="preserve">from: </w:t>
      </w:r>
      <w:hyperlink r:id="rId42" w:history="1">
        <w:r w:rsidR="00D3584B" w:rsidRPr="00D3584B">
          <w:rPr>
            <w:rStyle w:val="Hyperlink"/>
            <w:color w:val="006F62"/>
          </w:rPr>
          <w:t>rsc.li/3IuFDty</w:t>
        </w:r>
      </w:hyperlink>
      <w:r w:rsidR="00D3584B" w:rsidRPr="00D3584B">
        <w:rPr>
          <w:color w:val="006F62"/>
        </w:rPr>
        <w:t xml:space="preserve"> </w:t>
      </w:r>
    </w:p>
    <w:p w14:paraId="7DC2D590" w14:textId="28FB60C9" w:rsidR="001A7611" w:rsidRDefault="001A7611" w:rsidP="00916446">
      <w:pPr>
        <w:pStyle w:val="RSCletteredlist"/>
      </w:pPr>
      <w:r>
        <w:t>A diagram showing ammonia particles spaced out between the air particles reaching the left of the diagram. For example:</w:t>
      </w:r>
    </w:p>
    <w:p w14:paraId="404610B5" w14:textId="22A6A667" w:rsidR="001A7611" w:rsidRDefault="001A7611" w:rsidP="004F0051">
      <w:pPr>
        <w:pStyle w:val="RSCletteredlist"/>
      </w:pPr>
      <w:r>
        <w:rPr>
          <w:rFonts w:ascii="Arial" w:hAnsi="Arial"/>
          <w:noProof/>
          <w:sz w:val="20"/>
          <w:szCs w:val="20"/>
          <w:lang w:eastAsia="en-GB"/>
        </w:rPr>
        <w:drawing>
          <wp:anchor distT="0" distB="0" distL="114300" distR="114300" simplePos="0" relativeHeight="251666432" behindDoc="0" locked="0" layoutInCell="1" allowOverlap="1" wp14:anchorId="177AE4BD" wp14:editId="30581C13">
            <wp:simplePos x="0" y="0"/>
            <wp:positionH relativeFrom="column">
              <wp:posOffset>914400</wp:posOffset>
            </wp:positionH>
            <wp:positionV relativeFrom="paragraph">
              <wp:posOffset>5715</wp:posOffset>
            </wp:positionV>
            <wp:extent cx="3600000" cy="1500418"/>
            <wp:effectExtent l="0" t="0" r="635" b="5080"/>
            <wp:wrapTopAndBottom/>
            <wp:docPr id="1616249626" name="Picture 1" descr="Nineteen small circles spread out across the width of the page. The circles are randomly arranged and not touching. Fifteen of the circles are white and four are black. The four black circles are spaced evenly out across the right 3/4 of the diagram. A key shows that the black circles represent ammonia particles and the white circles represent air p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49626" name="Picture 1" descr="Nineteen small circles spread out across the width of the page. The circles are randomly arranged and not touching. Fifteen of the circles are white and four are black. The four black circles are spaced evenly out across the right 3/4 of the diagram. A key shows that the black circles represent ammonia particles and the white circles represent air particles."/>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3600000" cy="1500418"/>
                    </a:xfrm>
                    <a:prstGeom prst="rect">
                      <a:avLst/>
                    </a:prstGeom>
                    <a:noFill/>
                    <a:ln>
                      <a:noFill/>
                    </a:ln>
                  </pic:spPr>
                </pic:pic>
              </a:graphicData>
            </a:graphic>
          </wp:anchor>
        </w:drawing>
      </w:r>
      <w:r>
        <w:t xml:space="preserve">The ammonia and hydrogen chloride particles have </w:t>
      </w:r>
      <w:r w:rsidRPr="004F0051">
        <w:rPr>
          <w:b/>
          <w:bCs/>
        </w:rPr>
        <w:t>diffused</w:t>
      </w:r>
      <w:r>
        <w:t xml:space="preserve"> and moved away from the ends of the</w:t>
      </w:r>
      <w:r w:rsidRPr="004F0051">
        <w:t xml:space="preserve"> </w:t>
      </w:r>
      <w:r w:rsidRPr="004F0051">
        <w:rPr>
          <w:b/>
          <w:bCs/>
        </w:rPr>
        <w:t>tube</w:t>
      </w:r>
      <w:r>
        <w:t xml:space="preserve">. The white ring has formed because the </w:t>
      </w:r>
      <w:r w:rsidRPr="004F0051">
        <w:rPr>
          <w:b/>
          <w:bCs/>
        </w:rPr>
        <w:t xml:space="preserve">particles </w:t>
      </w:r>
      <w:r>
        <w:t>have met each other and have</w:t>
      </w:r>
      <w:r w:rsidRPr="004F0051">
        <w:t xml:space="preserve"> </w:t>
      </w:r>
      <w:r w:rsidRPr="004F0051">
        <w:rPr>
          <w:b/>
          <w:bCs/>
        </w:rPr>
        <w:t>reacted</w:t>
      </w:r>
      <w:r w:rsidR="00DD708A">
        <w:t xml:space="preserve"> to form the white </w:t>
      </w:r>
      <w:r w:rsidR="0081487D" w:rsidRPr="004F0051">
        <w:rPr>
          <w:b/>
          <w:bCs/>
        </w:rPr>
        <w:t>solid</w:t>
      </w:r>
      <w:r w:rsidR="0081487D">
        <w:t>.</w:t>
      </w:r>
    </w:p>
    <w:p w14:paraId="1E0ECD14" w14:textId="5495B9DA" w:rsidR="00397776" w:rsidRPr="00053FD0" w:rsidRDefault="00397776" w:rsidP="006F6182">
      <w:pPr>
        <w:pStyle w:val="RSCletteredlist"/>
      </w:pPr>
      <w:r>
        <w:t>The particles do move very fast, but they move in random directions.</w:t>
      </w:r>
      <w:r w:rsidR="0042677A">
        <w:t xml:space="preserve"> The tube also contains air particles which </w:t>
      </w:r>
      <w:r w:rsidR="00461953">
        <w:t xml:space="preserve">get in the way. </w:t>
      </w:r>
      <w:r>
        <w:t xml:space="preserve"> It therefore </w:t>
      </w:r>
      <w:r w:rsidRPr="00053FD0">
        <w:t>takes a long time for them to move along the tube.</w:t>
      </w:r>
    </w:p>
    <w:p w14:paraId="36F4D614" w14:textId="0697C369" w:rsidR="00B23F3F" w:rsidRDefault="001A7611" w:rsidP="00B23F3F">
      <w:pPr>
        <w:pStyle w:val="RSCletteredlist"/>
      </w:pPr>
      <w:r>
        <w:t xml:space="preserve">The </w:t>
      </w:r>
      <w:r w:rsidR="001A4551">
        <w:t xml:space="preserve">white </w:t>
      </w:r>
      <w:r>
        <w:t xml:space="preserve">ring </w:t>
      </w:r>
      <w:r w:rsidR="001A4551">
        <w:t>forms</w:t>
      </w:r>
      <w:r>
        <w:t xml:space="preserve"> nearer the left of the tube</w:t>
      </w:r>
      <w:r w:rsidR="001A4551">
        <w:t xml:space="preserve"> because</w:t>
      </w:r>
      <w:r>
        <w:t xml:space="preserve"> the ammonia particles have </w:t>
      </w:r>
      <w:r w:rsidR="001A4551">
        <w:t xml:space="preserve">less mass and have therefore </w:t>
      </w:r>
      <w:r>
        <w:t xml:space="preserve">diffused further than the hydrogen chloride particles in the same amount of time. </w:t>
      </w:r>
    </w:p>
    <w:p w14:paraId="221D2C74" w14:textId="1054C622" w:rsidR="00303073" w:rsidRDefault="008E23E9" w:rsidP="00303073">
      <w:pPr>
        <w:pStyle w:val="RSCletteredlist"/>
        <w:numPr>
          <w:ilvl w:val="0"/>
          <w:numId w:val="0"/>
        </w:numPr>
        <w:ind w:left="360"/>
      </w:pPr>
      <w:r>
        <w:rPr>
          <w:noProof/>
          <w:lang w:eastAsia="en-GB"/>
        </w:rPr>
        <w:drawing>
          <wp:anchor distT="0" distB="0" distL="114300" distR="114300" simplePos="0" relativeHeight="251668480" behindDoc="0" locked="0" layoutInCell="1" allowOverlap="1" wp14:anchorId="3C73E4B2" wp14:editId="23113621">
            <wp:simplePos x="0" y="0"/>
            <wp:positionH relativeFrom="leftMargin">
              <wp:align>right</wp:align>
            </wp:positionH>
            <wp:positionV relativeFrom="paragraph">
              <wp:posOffset>239486</wp:posOffset>
            </wp:positionV>
            <wp:extent cx="359410" cy="359410"/>
            <wp:effectExtent l="0" t="0" r="2540" b="2540"/>
            <wp:wrapNone/>
            <wp:docPr id="1963145886" name="Picture 1" descr="An icon indicating that Question 2 uses Macroscopic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45886" name="Picture 1" descr="An icon indicating that Question 2 uses Macroscopic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167BF790" w14:textId="7B61D5E9" w:rsidR="00303073" w:rsidRPr="004C1597" w:rsidRDefault="00303073" w:rsidP="000362E2">
      <w:pPr>
        <w:pStyle w:val="RSCnumberedlist"/>
        <w:spacing w:after="360"/>
        <w:ind w:left="357" w:hanging="357"/>
        <w:rPr>
          <w:i/>
          <w:iCs/>
        </w:rPr>
      </w:pPr>
      <w:r w:rsidRPr="067BA781">
        <w:rPr>
          <w:i/>
          <w:iCs/>
          <w:color w:val="006F62"/>
        </w:rPr>
        <w:t>Guidance note:</w:t>
      </w:r>
      <w:r w:rsidR="00053FD0">
        <w:t xml:space="preserve"> </w:t>
      </w:r>
      <w:r w:rsidR="004D4548">
        <w:t>This question develops learners’</w:t>
      </w:r>
      <w:r w:rsidR="00DC07A1">
        <w:t xml:space="preserve"> </w:t>
      </w:r>
      <w:r w:rsidR="004D4548">
        <w:t xml:space="preserve">understanding of the </w:t>
      </w:r>
      <w:r w:rsidR="00DC07A1">
        <w:t xml:space="preserve">formation of an </w:t>
      </w:r>
      <w:r w:rsidR="004D4548">
        <w:t xml:space="preserve">observable </w:t>
      </w:r>
      <w:r w:rsidR="00555941">
        <w:t xml:space="preserve">solid </w:t>
      </w:r>
      <w:r w:rsidR="006051D2">
        <w:t xml:space="preserve">product </w:t>
      </w:r>
      <w:r w:rsidR="00555941">
        <w:t xml:space="preserve">(precipitate) </w:t>
      </w:r>
      <w:r w:rsidR="006051D2">
        <w:t xml:space="preserve">when soluble </w:t>
      </w:r>
      <w:r w:rsidR="004D4548">
        <w:t xml:space="preserve">reactants meet through diffusion </w:t>
      </w:r>
      <w:r w:rsidR="006051D2">
        <w:t xml:space="preserve">across a water droplet </w:t>
      </w:r>
      <w:r w:rsidR="004D4548">
        <w:t>(</w:t>
      </w:r>
      <w:r w:rsidR="004C1597">
        <w:t>macroscopic understanding)</w:t>
      </w:r>
      <w:r w:rsidR="0081487D">
        <w:t xml:space="preserve">. </w:t>
      </w:r>
      <w:r w:rsidR="001A5941">
        <w:t xml:space="preserve">This question assumes some familiarity with dissolving and diffusion as well as experience of observing </w:t>
      </w:r>
      <w:r w:rsidR="00DC07A1">
        <w:t>microscale reactions</w:t>
      </w:r>
      <w:r w:rsidR="001D3A91">
        <w:t xml:space="preserve"> </w:t>
      </w:r>
      <w:r w:rsidR="008F0FE9">
        <w:t>(</w:t>
      </w:r>
      <w:r w:rsidR="005A0A5B">
        <w:t xml:space="preserve">download instructions and watch a video of this reaction from: </w:t>
      </w:r>
      <w:hyperlink r:id="rId44" w:history="1">
        <w:r w:rsidR="005A0A5B" w:rsidRPr="009039F6">
          <w:rPr>
            <w:rStyle w:val="Hyperlink"/>
            <w:color w:val="006F62"/>
          </w:rPr>
          <w:t>rsc.li/4euQ3W2</w:t>
        </w:r>
      </w:hyperlink>
      <w:r w:rsidR="005A0A5B">
        <w:t>)</w:t>
      </w:r>
      <w:r w:rsidR="009039F6">
        <w:t>.</w:t>
      </w:r>
      <w:r w:rsidR="005A0A5B">
        <w:t xml:space="preserve"> </w:t>
      </w:r>
    </w:p>
    <w:p w14:paraId="35296E75" w14:textId="77777777" w:rsidR="004C1597" w:rsidRPr="00D12057" w:rsidRDefault="004C1597" w:rsidP="004C1597">
      <w:pPr>
        <w:pStyle w:val="RSCnumberedlist"/>
        <w:numPr>
          <w:ilvl w:val="0"/>
          <w:numId w:val="0"/>
        </w:numPr>
        <w:ind w:left="360"/>
        <w:rPr>
          <w:i/>
        </w:rPr>
      </w:pPr>
    </w:p>
    <w:p w14:paraId="2CD5123A" w14:textId="16653DBC" w:rsidR="00303073" w:rsidRPr="00053FD0" w:rsidRDefault="00303073" w:rsidP="000362E2">
      <w:pPr>
        <w:pStyle w:val="RSCnumberedlist"/>
        <w:numPr>
          <w:ilvl w:val="0"/>
          <w:numId w:val="17"/>
        </w:numPr>
        <w:spacing w:after="0"/>
      </w:pPr>
      <w:r>
        <w:t xml:space="preserve">The potassium iodide gradually </w:t>
      </w:r>
      <w:r w:rsidRPr="008E23E9">
        <w:rPr>
          <w:b/>
          <w:bCs/>
        </w:rPr>
        <w:t>dissolves</w:t>
      </w:r>
      <w:r>
        <w:t xml:space="preserve"> in the water. This forms potassium </w:t>
      </w:r>
      <w:r w:rsidR="0039018E">
        <w:t xml:space="preserve">iodide </w:t>
      </w:r>
      <w:r w:rsidRPr="008E23E9">
        <w:rPr>
          <w:b/>
          <w:bCs/>
        </w:rPr>
        <w:t>solution</w:t>
      </w:r>
      <w:r>
        <w:t xml:space="preserve"> near the crystal. </w:t>
      </w:r>
      <w:r w:rsidR="46A0B1F9">
        <w:t>L</w:t>
      </w:r>
      <w:r>
        <w:t xml:space="preserve">ead nitrate </w:t>
      </w:r>
      <w:r w:rsidRPr="008E23E9">
        <w:rPr>
          <w:b/>
          <w:bCs/>
        </w:rPr>
        <w:t>solution</w:t>
      </w:r>
      <w:r>
        <w:t xml:space="preserve"> form</w:t>
      </w:r>
      <w:r w:rsidR="360EE4CC">
        <w:t>s near the lead nitrate crystal</w:t>
      </w:r>
      <w:r>
        <w:t xml:space="preserve">. Gradually potassium iodide </w:t>
      </w:r>
      <w:r w:rsidRPr="008E23E9">
        <w:rPr>
          <w:b/>
          <w:bCs/>
        </w:rPr>
        <w:t>diffuse</w:t>
      </w:r>
      <w:r w:rsidR="00743A50" w:rsidRPr="008E23E9">
        <w:rPr>
          <w:b/>
          <w:bCs/>
        </w:rPr>
        <w:t>s</w:t>
      </w:r>
      <w:r>
        <w:t xml:space="preserve"> from the right of the droplet. </w:t>
      </w:r>
      <w:r w:rsidR="00743A50">
        <w:t>L</w:t>
      </w:r>
      <w:r>
        <w:t xml:space="preserve">ead nitrate </w:t>
      </w:r>
      <w:r w:rsidRPr="008E23E9">
        <w:rPr>
          <w:b/>
          <w:bCs/>
        </w:rPr>
        <w:t>diffuse</w:t>
      </w:r>
      <w:r w:rsidR="00743A50" w:rsidRPr="008E23E9">
        <w:rPr>
          <w:b/>
          <w:bCs/>
        </w:rPr>
        <w:t>s</w:t>
      </w:r>
      <w:r>
        <w:t xml:space="preserve"> from the left of the droplet.</w:t>
      </w:r>
    </w:p>
    <w:p w14:paraId="0528F66B" w14:textId="3AFB8CB0" w:rsidR="00303073" w:rsidRPr="00053FD0" w:rsidRDefault="6F66FB68" w:rsidP="000362E2">
      <w:pPr>
        <w:pStyle w:val="RSCletteredlist"/>
        <w:numPr>
          <w:ilvl w:val="0"/>
          <w:numId w:val="0"/>
        </w:numPr>
      </w:pPr>
      <w:r>
        <w:t xml:space="preserve">(b) </w:t>
      </w:r>
      <w:r w:rsidR="00053FD0">
        <w:t>L</w:t>
      </w:r>
      <w:r w:rsidR="00303073">
        <w:t>ead iodide</w:t>
      </w:r>
    </w:p>
    <w:p w14:paraId="7628CE36" w14:textId="5AD1F092" w:rsidR="00303073" w:rsidRDefault="66A71644" w:rsidP="001C7D03">
      <w:pPr>
        <w:pStyle w:val="RSCletteredlist"/>
        <w:numPr>
          <w:ilvl w:val="0"/>
          <w:numId w:val="0"/>
        </w:numPr>
      </w:pPr>
      <w:r>
        <w:t xml:space="preserve">(c) </w:t>
      </w:r>
      <w:r w:rsidR="00303073">
        <w:t>The potassium iodide diffuses faster than the lead nitrate.</w:t>
      </w:r>
    </w:p>
    <w:sectPr w:rsidR="00303073" w:rsidSect="00231C1C">
      <w:headerReference w:type="default" r:id="rId45"/>
      <w:footerReference w:type="default" r:id="rId46"/>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F29BE" w14:textId="77777777" w:rsidR="00A34983" w:rsidRDefault="00A34983" w:rsidP="008A1B0B">
      <w:pPr>
        <w:spacing w:after="0" w:line="240" w:lineRule="auto"/>
      </w:pPr>
      <w:r>
        <w:separator/>
      </w:r>
    </w:p>
  </w:endnote>
  <w:endnote w:type="continuationSeparator" w:id="0">
    <w:p w14:paraId="20F739C2" w14:textId="77777777" w:rsidR="00A34983" w:rsidRDefault="00A34983"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1789A652"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5E064E">
          <w:rPr>
            <w:rStyle w:val="PageNumber"/>
            <w:rFonts w:ascii="Century Gothic" w:hAnsi="Century Gothic"/>
            <w:b/>
            <w:bCs/>
            <w:noProof/>
            <w:sz w:val="18"/>
            <w:szCs w:val="18"/>
          </w:rPr>
          <w:t>1</w:t>
        </w:r>
        <w:r w:rsidRPr="00913533">
          <w:rPr>
            <w:rStyle w:val="PageNumber"/>
            <w:rFonts w:ascii="Century Gothic" w:hAnsi="Century Gothic"/>
            <w:b/>
            <w:bCs/>
            <w:sz w:val="18"/>
            <w:szCs w:val="18"/>
          </w:rPr>
          <w:fldChar w:fldCharType="end"/>
        </w:r>
      </w:p>
    </w:sdtContent>
  </w:sdt>
  <w:p w14:paraId="13A1D64A" w14:textId="2242E6C8"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3959B3">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095A9" w14:textId="77777777" w:rsidR="00A34983" w:rsidRDefault="00A34983" w:rsidP="008A1B0B">
      <w:pPr>
        <w:spacing w:after="0" w:line="240" w:lineRule="auto"/>
      </w:pPr>
      <w:r>
        <w:separator/>
      </w:r>
    </w:p>
  </w:footnote>
  <w:footnote w:type="continuationSeparator" w:id="0">
    <w:p w14:paraId="0BCBF1F3" w14:textId="77777777" w:rsidR="00A34983" w:rsidRDefault="00A34983"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50380CE1"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9264" behindDoc="0" locked="0" layoutInCell="1" allowOverlap="1" wp14:anchorId="23D284BC" wp14:editId="77A22BD7">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11924A57" wp14:editId="362855C5">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957095">
      <w:rPr>
        <w:rFonts w:ascii="Century Gothic" w:hAnsi="Century Gothic"/>
        <w:b/>
        <w:bCs/>
        <w:color w:val="006F62"/>
        <w:sz w:val="30"/>
        <w:szCs w:val="30"/>
      </w:rPr>
      <w:t>Developing understanding</w:t>
    </w:r>
    <w:r w:rsidR="005E064E">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785CD664"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hyperlink r:id="rId3" w:history="1">
      <w:r w:rsidR="00DD2C16" w:rsidRPr="00226557">
        <w:rPr>
          <w:rStyle w:val="Hyperlink"/>
          <w:color w:val="006F62"/>
          <w:sz w:val="18"/>
          <w:szCs w:val="18"/>
          <w:u w:val="none"/>
        </w:rPr>
        <w:t>rsc.li/3Fvrn2I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6356BC"/>
    <w:multiLevelType w:val="hybridMultilevel"/>
    <w:tmpl w:val="D24410F6"/>
    <w:lvl w:ilvl="0" w:tplc="698EF168">
      <w:start w:val="1"/>
      <w:numFmt w:val="lowerLetter"/>
      <w:lvlText w:val="(%1)"/>
      <w:lvlJc w:val="left"/>
      <w:pPr>
        <w:ind w:left="370" w:hanging="3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C2C0E790"/>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D646CA7A">
      <w:start w:val="1"/>
      <w:numFmt w:val="decimal"/>
      <w:lvlText w:val="%2."/>
      <w:lvlJc w:val="left"/>
      <w:pPr>
        <w:ind w:left="1440" w:hanging="360"/>
      </w:pPr>
      <w:rPr>
        <w:rFonts w:ascii="Century Gothic" w:eastAsiaTheme="minorHAnsi" w:hAnsi="Century Gothic" w:cs="Aria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43BABB9A"/>
    <w:lvl w:ilvl="0" w:tplc="E5AEC71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037796">
    <w:abstractNumId w:val="12"/>
  </w:num>
  <w:num w:numId="2" w16cid:durableId="211890869">
    <w:abstractNumId w:val="8"/>
  </w:num>
  <w:num w:numId="3" w16cid:durableId="832532699">
    <w:abstractNumId w:val="6"/>
  </w:num>
  <w:num w:numId="4" w16cid:durableId="1357466012">
    <w:abstractNumId w:val="7"/>
  </w:num>
  <w:num w:numId="5" w16cid:durableId="810833278">
    <w:abstractNumId w:val="10"/>
  </w:num>
  <w:num w:numId="6" w16cid:durableId="566110027">
    <w:abstractNumId w:val="11"/>
  </w:num>
  <w:num w:numId="7" w16cid:durableId="233584310">
    <w:abstractNumId w:val="2"/>
  </w:num>
  <w:num w:numId="8" w16cid:durableId="570118049">
    <w:abstractNumId w:val="5"/>
  </w:num>
  <w:num w:numId="9" w16cid:durableId="942036580">
    <w:abstractNumId w:val="4"/>
  </w:num>
  <w:num w:numId="10" w16cid:durableId="1249189991">
    <w:abstractNumId w:val="3"/>
  </w:num>
  <w:num w:numId="11" w16cid:durableId="1164197388">
    <w:abstractNumId w:val="9"/>
  </w:num>
  <w:num w:numId="12" w16cid:durableId="2065323391">
    <w:abstractNumId w:val="3"/>
    <w:lvlOverride w:ilvl="0">
      <w:startOverride w:val="1"/>
    </w:lvlOverride>
  </w:num>
  <w:num w:numId="13" w16cid:durableId="1168248985">
    <w:abstractNumId w:val="4"/>
    <w:lvlOverride w:ilvl="0">
      <w:startOverride w:val="1"/>
    </w:lvlOverride>
  </w:num>
  <w:num w:numId="14" w16cid:durableId="492575726">
    <w:abstractNumId w:val="0"/>
  </w:num>
  <w:num w:numId="15" w16cid:durableId="1846818947">
    <w:abstractNumId w:val="2"/>
  </w:num>
  <w:num w:numId="16" w16cid:durableId="486939902">
    <w:abstractNumId w:val="4"/>
    <w:lvlOverride w:ilvl="0">
      <w:startOverride w:val="2"/>
    </w:lvlOverride>
  </w:num>
  <w:num w:numId="17" w16cid:durableId="224880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24208"/>
    <w:rsid w:val="0002448C"/>
    <w:rsid w:val="000362E2"/>
    <w:rsid w:val="000416BD"/>
    <w:rsid w:val="00053FD0"/>
    <w:rsid w:val="00054301"/>
    <w:rsid w:val="000736CE"/>
    <w:rsid w:val="00082A52"/>
    <w:rsid w:val="00097816"/>
    <w:rsid w:val="000B0FE6"/>
    <w:rsid w:val="000C6F9E"/>
    <w:rsid w:val="000C7FF8"/>
    <w:rsid w:val="000D28BF"/>
    <w:rsid w:val="000D6007"/>
    <w:rsid w:val="000E4D3D"/>
    <w:rsid w:val="000F0680"/>
    <w:rsid w:val="000F5E4F"/>
    <w:rsid w:val="00102CBC"/>
    <w:rsid w:val="00114920"/>
    <w:rsid w:val="001244D0"/>
    <w:rsid w:val="00130413"/>
    <w:rsid w:val="00131E9D"/>
    <w:rsid w:val="00136040"/>
    <w:rsid w:val="001603D6"/>
    <w:rsid w:val="00165FBB"/>
    <w:rsid w:val="00181464"/>
    <w:rsid w:val="0018159A"/>
    <w:rsid w:val="00191D12"/>
    <w:rsid w:val="001A4551"/>
    <w:rsid w:val="001A523D"/>
    <w:rsid w:val="001A5941"/>
    <w:rsid w:val="001A7611"/>
    <w:rsid w:val="001B6131"/>
    <w:rsid w:val="001B6454"/>
    <w:rsid w:val="001C7D03"/>
    <w:rsid w:val="001D3A91"/>
    <w:rsid w:val="00202012"/>
    <w:rsid w:val="00220CCE"/>
    <w:rsid w:val="00223A48"/>
    <w:rsid w:val="00231C1C"/>
    <w:rsid w:val="0023635E"/>
    <w:rsid w:val="00254431"/>
    <w:rsid w:val="00256CE0"/>
    <w:rsid w:val="00267984"/>
    <w:rsid w:val="0027066D"/>
    <w:rsid w:val="0027099B"/>
    <w:rsid w:val="00281A0C"/>
    <w:rsid w:val="002A5C16"/>
    <w:rsid w:val="002E47CA"/>
    <w:rsid w:val="002F19FD"/>
    <w:rsid w:val="002F4A48"/>
    <w:rsid w:val="00302413"/>
    <w:rsid w:val="00303073"/>
    <w:rsid w:val="003059AB"/>
    <w:rsid w:val="00311D98"/>
    <w:rsid w:val="003270CC"/>
    <w:rsid w:val="00351CAD"/>
    <w:rsid w:val="003716B9"/>
    <w:rsid w:val="0039018E"/>
    <w:rsid w:val="003959B3"/>
    <w:rsid w:val="00397776"/>
    <w:rsid w:val="003A60F1"/>
    <w:rsid w:val="003C2FED"/>
    <w:rsid w:val="003C7775"/>
    <w:rsid w:val="003E06B3"/>
    <w:rsid w:val="003F517F"/>
    <w:rsid w:val="00401323"/>
    <w:rsid w:val="004058EF"/>
    <w:rsid w:val="004102F1"/>
    <w:rsid w:val="0042677A"/>
    <w:rsid w:val="00432647"/>
    <w:rsid w:val="00432A96"/>
    <w:rsid w:val="00461953"/>
    <w:rsid w:val="0046389A"/>
    <w:rsid w:val="00466A18"/>
    <w:rsid w:val="00471558"/>
    <w:rsid w:val="00475D2B"/>
    <w:rsid w:val="004B5C80"/>
    <w:rsid w:val="004C1597"/>
    <w:rsid w:val="004D2983"/>
    <w:rsid w:val="004D4548"/>
    <w:rsid w:val="004E3272"/>
    <w:rsid w:val="004F0051"/>
    <w:rsid w:val="00516F80"/>
    <w:rsid w:val="0052749E"/>
    <w:rsid w:val="00540853"/>
    <w:rsid w:val="00542927"/>
    <w:rsid w:val="00555941"/>
    <w:rsid w:val="00590268"/>
    <w:rsid w:val="0059507C"/>
    <w:rsid w:val="005A0A5B"/>
    <w:rsid w:val="005B4F3D"/>
    <w:rsid w:val="005D12DF"/>
    <w:rsid w:val="005D4D21"/>
    <w:rsid w:val="005E064E"/>
    <w:rsid w:val="005E3839"/>
    <w:rsid w:val="005F4E1D"/>
    <w:rsid w:val="00603108"/>
    <w:rsid w:val="00603E60"/>
    <w:rsid w:val="006051D2"/>
    <w:rsid w:val="00611993"/>
    <w:rsid w:val="00612D07"/>
    <w:rsid w:val="00621B07"/>
    <w:rsid w:val="0063402C"/>
    <w:rsid w:val="00635F8E"/>
    <w:rsid w:val="00642C54"/>
    <w:rsid w:val="006820BE"/>
    <w:rsid w:val="00687013"/>
    <w:rsid w:val="006A7F73"/>
    <w:rsid w:val="006D3323"/>
    <w:rsid w:val="006D691A"/>
    <w:rsid w:val="006D790E"/>
    <w:rsid w:val="006E3591"/>
    <w:rsid w:val="006E3CD8"/>
    <w:rsid w:val="006F6182"/>
    <w:rsid w:val="00702459"/>
    <w:rsid w:val="007042E5"/>
    <w:rsid w:val="00706A52"/>
    <w:rsid w:val="0071281E"/>
    <w:rsid w:val="00722220"/>
    <w:rsid w:val="007377D9"/>
    <w:rsid w:val="00743A50"/>
    <w:rsid w:val="00745C8F"/>
    <w:rsid w:val="00762EC8"/>
    <w:rsid w:val="00786A36"/>
    <w:rsid w:val="00794BD4"/>
    <w:rsid w:val="007A2BF5"/>
    <w:rsid w:val="007A581D"/>
    <w:rsid w:val="007B2BB5"/>
    <w:rsid w:val="007C4F48"/>
    <w:rsid w:val="007D292C"/>
    <w:rsid w:val="007E0273"/>
    <w:rsid w:val="007E21EA"/>
    <w:rsid w:val="00806162"/>
    <w:rsid w:val="00806527"/>
    <w:rsid w:val="00814733"/>
    <w:rsid w:val="0081487D"/>
    <w:rsid w:val="00835B9C"/>
    <w:rsid w:val="0084304C"/>
    <w:rsid w:val="008469DA"/>
    <w:rsid w:val="0085087B"/>
    <w:rsid w:val="008540CC"/>
    <w:rsid w:val="008622A9"/>
    <w:rsid w:val="00875152"/>
    <w:rsid w:val="0089187A"/>
    <w:rsid w:val="0089500D"/>
    <w:rsid w:val="008A1B0B"/>
    <w:rsid w:val="008A7ED2"/>
    <w:rsid w:val="008B0C59"/>
    <w:rsid w:val="008B0FA2"/>
    <w:rsid w:val="008B194F"/>
    <w:rsid w:val="008D1C0B"/>
    <w:rsid w:val="008E09DC"/>
    <w:rsid w:val="008E23E9"/>
    <w:rsid w:val="008F0FE9"/>
    <w:rsid w:val="009039F6"/>
    <w:rsid w:val="00916446"/>
    <w:rsid w:val="00916644"/>
    <w:rsid w:val="00927ECF"/>
    <w:rsid w:val="00935F08"/>
    <w:rsid w:val="00937CB3"/>
    <w:rsid w:val="00957095"/>
    <w:rsid w:val="00962FE8"/>
    <w:rsid w:val="00966388"/>
    <w:rsid w:val="00971D97"/>
    <w:rsid w:val="009817D9"/>
    <w:rsid w:val="00987C00"/>
    <w:rsid w:val="00993596"/>
    <w:rsid w:val="009B7E4A"/>
    <w:rsid w:val="009C75A2"/>
    <w:rsid w:val="009C7848"/>
    <w:rsid w:val="009F14B8"/>
    <w:rsid w:val="009F1E12"/>
    <w:rsid w:val="009F5B3B"/>
    <w:rsid w:val="00A059F9"/>
    <w:rsid w:val="00A20CA9"/>
    <w:rsid w:val="00A34983"/>
    <w:rsid w:val="00A42444"/>
    <w:rsid w:val="00A520DD"/>
    <w:rsid w:val="00A5348B"/>
    <w:rsid w:val="00A571EB"/>
    <w:rsid w:val="00A5740C"/>
    <w:rsid w:val="00A57DFD"/>
    <w:rsid w:val="00A725C3"/>
    <w:rsid w:val="00A77B3E"/>
    <w:rsid w:val="00A9096D"/>
    <w:rsid w:val="00A92294"/>
    <w:rsid w:val="00AB2E98"/>
    <w:rsid w:val="00AB72ED"/>
    <w:rsid w:val="00AD59F1"/>
    <w:rsid w:val="00AF53C4"/>
    <w:rsid w:val="00AF5EEF"/>
    <w:rsid w:val="00B01D29"/>
    <w:rsid w:val="00B0443A"/>
    <w:rsid w:val="00B141E4"/>
    <w:rsid w:val="00B226A7"/>
    <w:rsid w:val="00B23F3F"/>
    <w:rsid w:val="00B566C5"/>
    <w:rsid w:val="00B57568"/>
    <w:rsid w:val="00B67A03"/>
    <w:rsid w:val="00B92CCB"/>
    <w:rsid w:val="00B94641"/>
    <w:rsid w:val="00B9514F"/>
    <w:rsid w:val="00BA2734"/>
    <w:rsid w:val="00BA4A8E"/>
    <w:rsid w:val="00BD46A9"/>
    <w:rsid w:val="00BE26EA"/>
    <w:rsid w:val="00BE475D"/>
    <w:rsid w:val="00BE6FE7"/>
    <w:rsid w:val="00C01C44"/>
    <w:rsid w:val="00C142E7"/>
    <w:rsid w:val="00C1703F"/>
    <w:rsid w:val="00C35A08"/>
    <w:rsid w:val="00C618E1"/>
    <w:rsid w:val="00C6243B"/>
    <w:rsid w:val="00C91FB7"/>
    <w:rsid w:val="00CA36F5"/>
    <w:rsid w:val="00CB17C2"/>
    <w:rsid w:val="00CC70CD"/>
    <w:rsid w:val="00CD56DB"/>
    <w:rsid w:val="00CD5E3C"/>
    <w:rsid w:val="00CD7F4F"/>
    <w:rsid w:val="00D12057"/>
    <w:rsid w:val="00D3584B"/>
    <w:rsid w:val="00D40FE2"/>
    <w:rsid w:val="00D42C66"/>
    <w:rsid w:val="00D45DC6"/>
    <w:rsid w:val="00D50E79"/>
    <w:rsid w:val="00D721EF"/>
    <w:rsid w:val="00D835AD"/>
    <w:rsid w:val="00D85D6F"/>
    <w:rsid w:val="00DA1535"/>
    <w:rsid w:val="00DC07A1"/>
    <w:rsid w:val="00DD2C16"/>
    <w:rsid w:val="00DD42BA"/>
    <w:rsid w:val="00DD708A"/>
    <w:rsid w:val="00DE5930"/>
    <w:rsid w:val="00DE5A5F"/>
    <w:rsid w:val="00DF3CE9"/>
    <w:rsid w:val="00DF41D6"/>
    <w:rsid w:val="00E001BB"/>
    <w:rsid w:val="00E10EFE"/>
    <w:rsid w:val="00E244DF"/>
    <w:rsid w:val="00E35CD1"/>
    <w:rsid w:val="00E54AF2"/>
    <w:rsid w:val="00E67E47"/>
    <w:rsid w:val="00E9177E"/>
    <w:rsid w:val="00EB3273"/>
    <w:rsid w:val="00EE22CA"/>
    <w:rsid w:val="00EE3692"/>
    <w:rsid w:val="00EF065E"/>
    <w:rsid w:val="00EF2CA5"/>
    <w:rsid w:val="00F27540"/>
    <w:rsid w:val="00F32183"/>
    <w:rsid w:val="00F437C0"/>
    <w:rsid w:val="00F56579"/>
    <w:rsid w:val="00F629F3"/>
    <w:rsid w:val="00F6650B"/>
    <w:rsid w:val="00F67379"/>
    <w:rsid w:val="00F67E06"/>
    <w:rsid w:val="00F82C1D"/>
    <w:rsid w:val="00F8506D"/>
    <w:rsid w:val="00FB7A7C"/>
    <w:rsid w:val="00FD5837"/>
    <w:rsid w:val="00FE4911"/>
    <w:rsid w:val="00FE7B77"/>
    <w:rsid w:val="00FF2D3D"/>
    <w:rsid w:val="00FF5377"/>
    <w:rsid w:val="0315A0B6"/>
    <w:rsid w:val="0571893B"/>
    <w:rsid w:val="067BA781"/>
    <w:rsid w:val="06DB37B0"/>
    <w:rsid w:val="1273A116"/>
    <w:rsid w:val="13B3130B"/>
    <w:rsid w:val="18559DCE"/>
    <w:rsid w:val="2C3010FE"/>
    <w:rsid w:val="2C45FE11"/>
    <w:rsid w:val="2C600DF1"/>
    <w:rsid w:val="360EE4CC"/>
    <w:rsid w:val="39DBD603"/>
    <w:rsid w:val="3AD0EAD5"/>
    <w:rsid w:val="3EA3005D"/>
    <w:rsid w:val="4193864A"/>
    <w:rsid w:val="46A0B1F9"/>
    <w:rsid w:val="47499ACD"/>
    <w:rsid w:val="48ADD5EF"/>
    <w:rsid w:val="48ED3ED4"/>
    <w:rsid w:val="4AB34957"/>
    <w:rsid w:val="4F296C3F"/>
    <w:rsid w:val="4F4A0C41"/>
    <w:rsid w:val="52C87205"/>
    <w:rsid w:val="55B19CD6"/>
    <w:rsid w:val="567BBB76"/>
    <w:rsid w:val="5EC4EBC9"/>
    <w:rsid w:val="66A71644"/>
    <w:rsid w:val="6B7BB0E6"/>
    <w:rsid w:val="6E198869"/>
    <w:rsid w:val="6F66F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customStyle="1" w:styleId="UnresolvedMention1">
    <w:name w:val="Unresolved Mention1"/>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1A7611"/>
    <w:rPr>
      <w:sz w:val="16"/>
      <w:szCs w:val="16"/>
    </w:rPr>
  </w:style>
  <w:style w:type="paragraph" w:styleId="CommentText0">
    <w:name w:val="annotation text"/>
    <w:basedOn w:val="Normal"/>
    <w:link w:val="CommentTextChar"/>
    <w:uiPriority w:val="99"/>
    <w:unhideWhenUsed/>
    <w:rsid w:val="001A7611"/>
    <w:pPr>
      <w:spacing w:line="240" w:lineRule="auto"/>
    </w:pPr>
  </w:style>
  <w:style w:type="character" w:customStyle="1" w:styleId="CommentTextChar">
    <w:name w:val="Comment Text Char"/>
    <w:basedOn w:val="DefaultParagraphFont"/>
    <w:link w:val="CommentText0"/>
    <w:uiPriority w:val="99"/>
    <w:rsid w:val="001A7611"/>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1A7611"/>
    <w:rPr>
      <w:b/>
      <w:bCs/>
    </w:rPr>
  </w:style>
  <w:style w:type="character" w:customStyle="1" w:styleId="CommentSubjectChar">
    <w:name w:val="Comment Subject Char"/>
    <w:basedOn w:val="CommentTextChar"/>
    <w:link w:val="CommentSubject"/>
    <w:uiPriority w:val="99"/>
    <w:semiHidden/>
    <w:rsid w:val="001A7611"/>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621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B07"/>
    <w:rPr>
      <w:rFonts w:ascii="Segoe UI" w:hAnsi="Segoe UI" w:cs="Segoe UI"/>
      <w:sz w:val="18"/>
      <w:szCs w:val="18"/>
      <w:lang w:eastAsia="zh-CN"/>
    </w:rPr>
  </w:style>
  <w:style w:type="character" w:customStyle="1" w:styleId="UnresolvedMention2">
    <w:name w:val="Unresolved Mention2"/>
    <w:basedOn w:val="DefaultParagraphFont"/>
    <w:uiPriority w:val="99"/>
    <w:semiHidden/>
    <w:unhideWhenUsed/>
    <w:rsid w:val="00471558"/>
    <w:rPr>
      <w:color w:val="605E5C"/>
      <w:shd w:val="clear" w:color="auto" w:fill="E1DFDD"/>
    </w:rPr>
  </w:style>
  <w:style w:type="character" w:styleId="UnresolvedMention">
    <w:name w:val="Unresolved Mention"/>
    <w:basedOn w:val="DefaultParagraphFont"/>
    <w:uiPriority w:val="99"/>
    <w:semiHidden/>
    <w:unhideWhenUsed/>
    <w:rsid w:val="006E3CD8"/>
    <w:rPr>
      <w:color w:val="605E5C"/>
      <w:shd w:val="clear" w:color="auto" w:fill="E1DFDD"/>
    </w:rPr>
  </w:style>
  <w:style w:type="character" w:styleId="FollowedHyperlink">
    <w:name w:val="FollowedHyperlink"/>
    <w:basedOn w:val="DefaultParagraphFont"/>
    <w:uiPriority w:val="99"/>
    <w:semiHidden/>
    <w:unhideWhenUsed/>
    <w:rsid w:val="00D3584B"/>
    <w:rPr>
      <w:color w:val="954F72" w:themeColor="followedHyperlink"/>
      <w:u w:val="single"/>
    </w:rPr>
  </w:style>
  <w:style w:type="paragraph" w:styleId="Revision">
    <w:name w:val="Revision"/>
    <w:hidden/>
    <w:uiPriority w:val="99"/>
    <w:semiHidden/>
    <w:rsid w:val="00FE4911"/>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hyperlink" Target="https://rsc.li/3IuFDty" TargetMode="External"/><Relationship Id="rId21" Type="http://schemas.openxmlformats.org/officeDocument/2006/relationships/image" Target="media/image9.png"/><Relationship Id="rId34" Type="http://schemas.openxmlformats.org/officeDocument/2006/relationships/image" Target="media/image22.svg"/><Relationship Id="rId42" Type="http://schemas.openxmlformats.org/officeDocument/2006/relationships/hyperlink" Target="https://rsc.li/3IuFDty"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Z29Rd5" TargetMode="External"/><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image" Target="media/image24.png"/><Relationship Id="rId40" Type="http://schemas.openxmlformats.org/officeDocument/2006/relationships/hyperlink" Target="https://rsc.li/4euQ3W2"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s://rsc.li/4euQ3W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hyperlink" Target="https://rsc.li/3Fvrn2I" TargetMode="External"/><Relationship Id="rId43" Type="http://schemas.openxmlformats.org/officeDocument/2006/relationships/image" Target="media/image27.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sc.li/3Y73h4j"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footer" Target="footer1.xml"/><Relationship Id="rId20" Type="http://schemas.openxmlformats.org/officeDocument/2006/relationships/image" Target="media/image8.svg"/><Relationship Id="rId41" Type="http://schemas.openxmlformats.org/officeDocument/2006/relationships/image" Target="media/image26.png"/></Relationships>
</file>

<file path=word/_rels/header1.xml.rels><?xml version="1.0" encoding="UTF-8" standalone="yes"?>
<Relationships xmlns="http://schemas.openxmlformats.org/package/2006/relationships"><Relationship Id="rId3" Type="http://schemas.openxmlformats.org/officeDocument/2006/relationships/hyperlink" Target="https://rsc.li/3Fvrn2I" TargetMode="External"/><Relationship Id="rId2" Type="http://schemas.openxmlformats.org/officeDocument/2006/relationships/image" Target="media/image29.emf"/><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514C3-2F53-4450-9C50-5BED8A5D866D}">
  <ds:schemaRefs>
    <ds:schemaRef ds:uri="http://schemas.microsoft.com/sharepoint/v3/contenttype/forms"/>
  </ds:schemaRefs>
</ds:datastoreItem>
</file>

<file path=customXml/itemProps2.xml><?xml version="1.0" encoding="utf-8"?>
<ds:datastoreItem xmlns:ds="http://schemas.openxmlformats.org/officeDocument/2006/customXml" ds:itemID="{78FAE746-6645-4E89-AECE-FC50994A3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EEE2B8-3A60-4042-AE3B-9DADC221A03D}">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4.xml><?xml version="1.0" encoding="utf-8"?>
<ds:datastoreItem xmlns:ds="http://schemas.openxmlformats.org/officeDocument/2006/customXml" ds:itemID="{12F6BE6A-D067-4035-BA28-3F6059C9F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753</Words>
  <Characters>5361</Characters>
  <Application>Microsoft Office Word</Application>
  <DocSecurity>0</DocSecurity>
  <Lines>130</Lines>
  <Paragraphs>72</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6042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Diffusion and chemical reactions developing understanding teacher notes and answers</dc:title>
  <dc:subject/>
  <dc:creator>Royal Society Of Chemistry</dc:creator>
  <cp:keywords>diffusion; gas; reaction; ammonia; hydrogen chloride; particle model; KS3; chemistry; worksheet; Johnstone's triangle; macroscopic; sub-microscopic; symbolic</cp:keywords>
  <dc:description>From https://rsc.li/3Fvrn2I; student worksheet also availble</dc:description>
  <cp:lastModifiedBy>Kirsty Patterson</cp:lastModifiedBy>
  <cp:revision>84</cp:revision>
  <dcterms:created xsi:type="dcterms:W3CDTF">2025-04-28T16:04:00Z</dcterms:created>
  <dcterms:modified xsi:type="dcterms:W3CDTF">2025-07-08T12:19:00Z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38814000</vt:r8>
  </property>
  <property fmtid="{D5CDD505-2E9C-101B-9397-08002B2CF9AE}" pid="4" name="_dlc_DocIdItemGuid">
    <vt:lpwstr>c354c3af-6cd0-7c83-a0f9-db7fab8bd4a2</vt:lpwstr>
  </property>
  <property fmtid="{D5CDD505-2E9C-101B-9397-08002B2CF9AE}" pid="5" name="xd_Signature">
    <vt:bool>false</vt:bool>
  </property>
  <property fmtid="{D5CDD505-2E9C-101B-9397-08002B2CF9AE}" pid="6" name="xd_ProgID">
    <vt:lpwstr/>
  </property>
  <property fmtid="{D5CDD505-2E9C-101B-9397-08002B2CF9AE}" pid="7" name="_dlc_DocId">
    <vt:lpwstr>3NRJHQVPYV53-1428155273-4541626</vt:lpwstr>
  </property>
  <property fmtid="{D5CDD505-2E9C-101B-9397-08002B2CF9AE}" pid="8" name="TriggerFlowInfo">
    <vt:lpwstr/>
  </property>
  <property fmtid="{D5CDD505-2E9C-101B-9397-08002B2CF9AE}" pid="9" name="_dlc_DocIdUrl">
    <vt:lpwstr>https://royalsocietychemistry.sharepoint.com/sites/Shares_Additional/_layouts/15/DocIdRedir.aspx?ID=3NRJHQVPYV53-1428155273-4541626, 3NRJHQVPYV53-1428155273-4541626</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