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5186" w14:textId="0C133E88" w:rsidR="00CE5800" w:rsidRDefault="00DF5902" w:rsidP="00CE5800">
      <w:pPr>
        <w:pStyle w:val="RSCBasictext"/>
        <w:rPr>
          <w:b/>
          <w:bCs/>
          <w:color w:val="C8102E"/>
          <w:sz w:val="36"/>
          <w:szCs w:val="36"/>
        </w:rPr>
      </w:pPr>
      <w:r w:rsidRPr="00DF5902">
        <w:rPr>
          <w:b/>
          <w:bCs/>
          <w:color w:val="C8102E"/>
          <w:sz w:val="36"/>
          <w:szCs w:val="36"/>
        </w:rPr>
        <w:t>A microscale acid</w:t>
      </w:r>
      <w:r w:rsidR="00D45594" w:rsidRPr="00624168">
        <w:rPr>
          <w:b/>
          <w:bCs/>
          <w:color w:val="C8102E"/>
          <w:sz w:val="36"/>
          <w:szCs w:val="36"/>
        </w:rPr>
        <w:t>−</w:t>
      </w:r>
      <w:r w:rsidRPr="00DF5902">
        <w:rPr>
          <w:b/>
          <w:bCs/>
          <w:color w:val="C8102E"/>
          <w:sz w:val="36"/>
          <w:szCs w:val="36"/>
        </w:rPr>
        <w:t>base titration</w:t>
      </w:r>
    </w:p>
    <w:p w14:paraId="4FF53375" w14:textId="02AF31E5" w:rsidR="00CE5800" w:rsidRDefault="00CE5800" w:rsidP="00CE5800">
      <w:pPr>
        <w:pStyle w:val="RSCBasictext"/>
        <w:rPr>
          <w:lang w:eastAsia="en-GB"/>
        </w:rPr>
      </w:pPr>
      <w:r w:rsidRPr="00CE5800">
        <w:rPr>
          <w:lang w:eastAsia="en-GB"/>
        </w:rPr>
        <w:t xml:space="preserve">This investigation is part of the </w:t>
      </w:r>
      <w:r w:rsidRPr="00BF7896">
        <w:rPr>
          <w:b/>
          <w:bCs/>
          <w:lang w:eastAsia="en-GB"/>
        </w:rPr>
        <w:t xml:space="preserve">Nuffield </w:t>
      </w:r>
      <w:r w:rsidR="00BF7896" w:rsidRPr="00BF7896">
        <w:rPr>
          <w:b/>
          <w:bCs/>
          <w:lang w:eastAsia="en-GB"/>
        </w:rPr>
        <w:t>p</w:t>
      </w:r>
      <w:r w:rsidRPr="00BF7896">
        <w:rPr>
          <w:b/>
          <w:bCs/>
          <w:lang w:eastAsia="en-GB"/>
        </w:rPr>
        <w:t xml:space="preserve">ractical </w:t>
      </w:r>
      <w:r w:rsidR="00BF7896" w:rsidRPr="00BF7896">
        <w:rPr>
          <w:b/>
          <w:bCs/>
          <w:lang w:eastAsia="en-GB"/>
        </w:rPr>
        <w:t>c</w:t>
      </w:r>
      <w:r w:rsidRPr="00BF7896">
        <w:rPr>
          <w:b/>
          <w:bCs/>
          <w:lang w:eastAsia="en-GB"/>
        </w:rPr>
        <w:t>ollection</w:t>
      </w:r>
      <w:r w:rsidRPr="00CE5800">
        <w:rPr>
          <w:lang w:eastAsia="en-GB"/>
        </w:rPr>
        <w:t xml:space="preserve">, developed by the Nuffield Foundation and the Royal Society of Chemistry. Delve into a wide range of chemical concepts and processes with this collection of over 200 step-by-step </w:t>
      </w:r>
      <w:proofErr w:type="spellStart"/>
      <w:r w:rsidRPr="00CE5800">
        <w:rPr>
          <w:lang w:eastAsia="en-GB"/>
        </w:rPr>
        <w:t>practicals</w:t>
      </w:r>
      <w:proofErr w:type="spellEnd"/>
      <w:r w:rsidRPr="00CE5800">
        <w:rPr>
          <w:lang w:eastAsia="en-GB"/>
        </w:rPr>
        <w:t xml:space="preserve">: </w:t>
      </w:r>
      <w:hyperlink r:id="rId10" w:tgtFrame="_blank" w:history="1">
        <w:r w:rsidRPr="00CE5800">
          <w:rPr>
            <w:rStyle w:val="Hyperlink"/>
            <w:lang w:eastAsia="en-GB"/>
          </w:rPr>
          <w:t>rsc.li/43bjGql</w:t>
        </w:r>
      </w:hyperlink>
      <w:r w:rsidRPr="00CE5800">
        <w:rPr>
          <w:lang w:eastAsia="en-GB"/>
        </w:rPr>
        <w:t>  </w:t>
      </w:r>
    </w:p>
    <w:p w14:paraId="65138B1A" w14:textId="760C4663" w:rsidR="00AB639C" w:rsidRPr="00CE5800" w:rsidRDefault="00AB639C" w:rsidP="00CE5800">
      <w:pPr>
        <w:pStyle w:val="RSCH2"/>
        <w:rPr>
          <w:sz w:val="36"/>
          <w:szCs w:val="36"/>
        </w:rPr>
      </w:pPr>
      <w:r>
        <w:rPr>
          <w:lang w:eastAsia="en-GB"/>
        </w:rPr>
        <w:t>Learning objectives</w:t>
      </w:r>
    </w:p>
    <w:p w14:paraId="3E2BB48A" w14:textId="75C7E734" w:rsidR="00943C4D" w:rsidRPr="0049734A" w:rsidRDefault="007D2614" w:rsidP="00943C4D">
      <w:pPr>
        <w:pStyle w:val="RSCLearningobjectives"/>
        <w:ind w:left="360" w:hanging="360"/>
      </w:pPr>
      <w:r>
        <w:t>Safely</w:t>
      </w:r>
      <w:r w:rsidR="00943C4D">
        <w:t xml:space="preserve"> carry out a microscale titration of sodium hydroxide and hydrochloric acid</w:t>
      </w:r>
      <w:r w:rsidR="0036558E">
        <w:t>.</w:t>
      </w:r>
    </w:p>
    <w:p w14:paraId="2DB9DBCA" w14:textId="32D0DC95" w:rsidR="00943C4D" w:rsidRDefault="00943C4D" w:rsidP="00943C4D">
      <w:pPr>
        <w:pStyle w:val="RSCLearningobjectives"/>
        <w:ind w:left="360" w:hanging="360"/>
      </w:pPr>
      <w:r>
        <w:t xml:space="preserve">Use practical results to </w:t>
      </w:r>
      <w:r w:rsidR="007D2614">
        <w:t>calculate</w:t>
      </w:r>
      <w:r>
        <w:t xml:space="preserve"> an unknown concentration</w:t>
      </w:r>
      <w:r w:rsidR="0036558E">
        <w:t>.</w:t>
      </w:r>
    </w:p>
    <w:p w14:paraId="41944F18" w14:textId="4105FC26" w:rsidR="0056263D" w:rsidRPr="0056263D" w:rsidRDefault="0056263D" w:rsidP="0056263D">
      <w:pPr>
        <w:pStyle w:val="RSCH3"/>
        <w:rPr>
          <w:lang w:eastAsia="en-GB"/>
        </w:rPr>
      </w:pPr>
      <w:r w:rsidRPr="0056263D">
        <w:rPr>
          <w:lang w:eastAsia="en-GB"/>
        </w:rPr>
        <w:t>Success criteria </w:t>
      </w:r>
    </w:p>
    <w:p w14:paraId="71AB11C6" w14:textId="19DDF6CA" w:rsidR="0056263D" w:rsidRDefault="00780400" w:rsidP="0056263D">
      <w:pPr>
        <w:pStyle w:val="RSCBasictext"/>
        <w:rPr>
          <w:lang w:eastAsia="en-GB"/>
        </w:rPr>
      </w:pPr>
      <w:r>
        <w:rPr>
          <w:lang w:eastAsia="en-GB"/>
        </w:rPr>
        <w:t>Learners</w:t>
      </w:r>
      <w:r w:rsidR="00943C4D">
        <w:rPr>
          <w:lang w:eastAsia="en-GB"/>
        </w:rPr>
        <w:t xml:space="preserve"> will carry out the microscale titration, aiming to achieve concordant results. They will use their results to carry out either a structured or unstructured calculation to find the unknown concentration of sodium hydroxide solution.</w:t>
      </w:r>
    </w:p>
    <w:p w14:paraId="04492FEA" w14:textId="198C9EB2" w:rsidR="00682E2D" w:rsidRDefault="00682E2D" w:rsidP="00682E2D">
      <w:pPr>
        <w:pStyle w:val="RSCH2"/>
        <w:rPr>
          <w:lang w:eastAsia="en-GB"/>
        </w:rPr>
      </w:pPr>
      <w:r>
        <w:rPr>
          <w:lang w:eastAsia="en-GB"/>
        </w:rPr>
        <w:t>Introduction</w:t>
      </w:r>
    </w:p>
    <w:p w14:paraId="27F48FBE" w14:textId="76C65DB8" w:rsidR="00682E2D" w:rsidRPr="00682E2D" w:rsidRDefault="00682E2D" w:rsidP="00682E2D">
      <w:pPr>
        <w:pStyle w:val="RSCBasictext"/>
        <w:rPr>
          <w:lang w:eastAsia="en-GB"/>
        </w:rPr>
      </w:pPr>
      <w:r w:rsidRPr="00682E2D">
        <w:rPr>
          <w:lang w:eastAsia="en-GB"/>
        </w:rPr>
        <w:t xml:space="preserve">In this experiment, </w:t>
      </w:r>
      <w:r w:rsidR="00780400">
        <w:rPr>
          <w:lang w:eastAsia="en-GB"/>
        </w:rPr>
        <w:t>learners</w:t>
      </w:r>
      <w:r w:rsidRPr="00682E2D">
        <w:rPr>
          <w:lang w:eastAsia="en-GB"/>
        </w:rPr>
        <w:t xml:space="preserve"> use a microscale titration apparatus – prepared from pipettes, a syringe and some rubber or plastic tubing – to carry out a titration, filling the </w:t>
      </w:r>
      <w:r w:rsidR="00943C4D">
        <w:rPr>
          <w:lang w:eastAsia="en-GB"/>
        </w:rPr>
        <w:t xml:space="preserve">microscale </w:t>
      </w:r>
      <w:r w:rsidRPr="00682E2D">
        <w:rPr>
          <w:lang w:eastAsia="en-GB"/>
        </w:rPr>
        <w:t xml:space="preserve">burette with hydrochloric acid and placing sodium hydroxide solution in a beaker. </w:t>
      </w:r>
      <w:r w:rsidR="00FC1B30">
        <w:rPr>
          <w:lang w:eastAsia="en-GB"/>
        </w:rPr>
        <w:t>They</w:t>
      </w:r>
      <w:r w:rsidR="00FC1B30" w:rsidRPr="00682E2D">
        <w:rPr>
          <w:lang w:eastAsia="en-GB"/>
        </w:rPr>
        <w:t xml:space="preserve"> </w:t>
      </w:r>
      <w:r w:rsidRPr="00682E2D">
        <w:rPr>
          <w:lang w:eastAsia="en-GB"/>
        </w:rPr>
        <w:t>then calculate the exact concentration of the sodium hydroxide solution.</w:t>
      </w:r>
    </w:p>
    <w:p w14:paraId="6C3B3E98" w14:textId="66E79185" w:rsidR="00682E2D" w:rsidRPr="00682E2D" w:rsidRDefault="00682E2D" w:rsidP="00682E2D">
      <w:pPr>
        <w:pStyle w:val="RSCBasictext"/>
        <w:rPr>
          <w:lang w:eastAsia="en-GB"/>
        </w:rPr>
      </w:pPr>
      <w:r w:rsidRPr="00682E2D">
        <w:rPr>
          <w:lang w:eastAsia="en-GB"/>
        </w:rPr>
        <w:t>For this microscale technique</w:t>
      </w:r>
      <w:r w:rsidR="00FC1B30">
        <w:rPr>
          <w:lang w:eastAsia="en-GB"/>
        </w:rPr>
        <w:t>,</w:t>
      </w:r>
      <w:r w:rsidRPr="00682E2D">
        <w:rPr>
          <w:lang w:eastAsia="en-GB"/>
        </w:rPr>
        <w:t xml:space="preserve"> </w:t>
      </w:r>
      <w:r w:rsidR="00780400">
        <w:rPr>
          <w:lang w:eastAsia="en-GB"/>
        </w:rPr>
        <w:t>learners</w:t>
      </w:r>
      <w:r w:rsidRPr="00682E2D">
        <w:rPr>
          <w:lang w:eastAsia="en-GB"/>
        </w:rPr>
        <w:t xml:space="preserve"> need to be capable of careful manipulation to carry the experiment out successfully. </w:t>
      </w:r>
      <w:r w:rsidR="000B44B8">
        <w:rPr>
          <w:lang w:eastAsia="en-GB"/>
        </w:rPr>
        <w:t>They</w:t>
      </w:r>
      <w:r w:rsidR="000B44B8" w:rsidRPr="00682E2D">
        <w:rPr>
          <w:lang w:eastAsia="en-GB"/>
        </w:rPr>
        <w:t xml:space="preserve"> </w:t>
      </w:r>
      <w:r w:rsidRPr="00682E2D">
        <w:rPr>
          <w:lang w:eastAsia="en-GB"/>
        </w:rPr>
        <w:t>also need to be familiar with the concept of the mole and capable of performing the calculations from the results of the experiment.</w:t>
      </w:r>
    </w:p>
    <w:p w14:paraId="62577ED7" w14:textId="3F64CA52" w:rsidR="00682E2D" w:rsidRPr="0056263D" w:rsidRDefault="00682E2D" w:rsidP="00682E2D">
      <w:pPr>
        <w:pStyle w:val="RSCBasictext"/>
        <w:rPr>
          <w:lang w:eastAsia="en-GB"/>
        </w:rPr>
      </w:pPr>
      <w:r w:rsidRPr="00682E2D">
        <w:rPr>
          <w:lang w:eastAsia="en-GB"/>
        </w:rPr>
        <w:t>On such a small scale, safety issues are minimal</w:t>
      </w:r>
      <w:r w:rsidR="00130895">
        <w:rPr>
          <w:lang w:eastAsia="en-GB"/>
        </w:rPr>
        <w:t xml:space="preserve"> and the</w:t>
      </w:r>
      <w:r w:rsidRPr="00682E2D">
        <w:rPr>
          <w:lang w:eastAsia="en-GB"/>
        </w:rPr>
        <w:t xml:space="preserve"> time taken to carry out a titration </w:t>
      </w:r>
      <w:r w:rsidR="00B17085">
        <w:rPr>
          <w:lang w:eastAsia="en-GB"/>
        </w:rPr>
        <w:t>is</w:t>
      </w:r>
      <w:r w:rsidRPr="00682E2D">
        <w:rPr>
          <w:lang w:eastAsia="en-GB"/>
        </w:rPr>
        <w:t xml:space="preserve"> reduced as the volumes being reacted are so small. It </w:t>
      </w:r>
      <w:r w:rsidR="000909E8">
        <w:rPr>
          <w:lang w:eastAsia="en-GB"/>
        </w:rPr>
        <w:t>is</w:t>
      </w:r>
      <w:r w:rsidRPr="00682E2D">
        <w:rPr>
          <w:lang w:eastAsia="en-GB"/>
        </w:rPr>
        <w:t xml:space="preserve"> possible for a class to carry out the practical work and calculations in a one-hour session.</w:t>
      </w:r>
    </w:p>
    <w:p w14:paraId="4905806C" w14:textId="59E4B91B" w:rsidR="00362CC1" w:rsidRDefault="003E3E15" w:rsidP="00AB639C">
      <w:pPr>
        <w:pStyle w:val="RSCH2"/>
        <w:rPr>
          <w:lang w:eastAsia="en-GB"/>
        </w:rPr>
      </w:pPr>
      <w:r>
        <w:rPr>
          <w:lang w:eastAsia="en-GB"/>
        </w:rPr>
        <w:t>Scaffolding</w:t>
      </w:r>
    </w:p>
    <w:p w14:paraId="167779F5" w14:textId="4541B74E" w:rsidR="00056090" w:rsidRDefault="00007E68" w:rsidP="00056090">
      <w:pPr>
        <w:pStyle w:val="RSC2-columntabs"/>
        <w:rPr>
          <w:lang w:eastAsia="en-GB"/>
        </w:rPr>
      </w:pPr>
      <w:r>
        <w:rPr>
          <w:lang w:eastAsia="en-GB"/>
        </w:rPr>
        <w:t>A</w:t>
      </w:r>
      <w:r w:rsidR="00BC5471">
        <w:rPr>
          <w:lang w:eastAsia="en-GB"/>
        </w:rPr>
        <w:t xml:space="preserve"> scaffolded</w:t>
      </w:r>
      <w:r w:rsidR="007D6F89">
        <w:rPr>
          <w:lang w:eastAsia="en-GB"/>
        </w:rPr>
        <w:t xml:space="preserve"> </w:t>
      </w:r>
      <w:r w:rsidR="007D6F89" w:rsidRPr="007D6F89">
        <w:rPr>
          <w:lang w:eastAsia="en-GB"/>
        </w:rPr>
        <w:t>(</w:t>
      </w:r>
      <w:r w:rsidR="007D6F89" w:rsidRPr="007D6F89">
        <w:rPr>
          <w:rFonts w:ascii="Segoe UI Symbol" w:hAnsi="Segoe UI Symbol" w:cs="Segoe UI Symbol"/>
          <w:lang w:eastAsia="en-GB"/>
        </w:rPr>
        <w:t>✪</w:t>
      </w:r>
      <w:r w:rsidR="007D6F89" w:rsidRPr="007D6F89">
        <w:rPr>
          <w:lang w:eastAsia="en-GB"/>
        </w:rPr>
        <w:t xml:space="preserve">) </w:t>
      </w:r>
      <w:r w:rsidR="00BC5471">
        <w:rPr>
          <w:lang w:eastAsia="en-GB"/>
        </w:rPr>
        <w:t xml:space="preserve">sheet </w:t>
      </w:r>
      <w:r>
        <w:rPr>
          <w:lang w:eastAsia="en-GB"/>
        </w:rPr>
        <w:t xml:space="preserve">is available, </w:t>
      </w:r>
      <w:r w:rsidR="00BC5471">
        <w:rPr>
          <w:lang w:eastAsia="en-GB"/>
        </w:rPr>
        <w:t xml:space="preserve">which </w:t>
      </w:r>
      <w:r w:rsidR="00E02081">
        <w:rPr>
          <w:lang w:eastAsia="en-GB"/>
        </w:rPr>
        <w:t xml:space="preserve">guides </w:t>
      </w:r>
      <w:r w:rsidR="00780400">
        <w:rPr>
          <w:lang w:eastAsia="en-GB"/>
        </w:rPr>
        <w:t>learners</w:t>
      </w:r>
      <w:r w:rsidR="00E02081">
        <w:rPr>
          <w:lang w:eastAsia="en-GB"/>
        </w:rPr>
        <w:t xml:space="preserve"> </w:t>
      </w:r>
      <w:r w:rsidR="00BC5471">
        <w:rPr>
          <w:lang w:eastAsia="en-GB"/>
        </w:rPr>
        <w:t xml:space="preserve">through the calculation stepwise. The </w:t>
      </w:r>
      <w:proofErr w:type="spellStart"/>
      <w:r w:rsidR="00E02081">
        <w:rPr>
          <w:lang w:eastAsia="en-GB"/>
        </w:rPr>
        <w:t>unscaffolded</w:t>
      </w:r>
      <w:proofErr w:type="spellEnd"/>
      <w:r w:rsidR="00A20039">
        <w:rPr>
          <w:lang w:eastAsia="en-GB"/>
        </w:rPr>
        <w:t xml:space="preserve"> </w:t>
      </w:r>
      <w:r w:rsidR="00A20039" w:rsidRPr="00A20039">
        <w:rPr>
          <w:lang w:eastAsia="en-GB"/>
        </w:rPr>
        <w:t>(</w:t>
      </w:r>
      <w:r w:rsidR="00A20039" w:rsidRPr="00A20039">
        <w:rPr>
          <w:rFonts w:ascii="Segoe UI Symbol" w:hAnsi="Segoe UI Symbol" w:cs="Segoe UI Symbol"/>
          <w:lang w:eastAsia="en-GB"/>
        </w:rPr>
        <w:t>✪✪</w:t>
      </w:r>
      <w:r w:rsidR="00A20039" w:rsidRPr="00A20039">
        <w:rPr>
          <w:lang w:eastAsia="en-GB"/>
        </w:rPr>
        <w:t>)</w:t>
      </w:r>
      <w:r w:rsidR="00E02081">
        <w:rPr>
          <w:lang w:eastAsia="en-GB"/>
        </w:rPr>
        <w:t xml:space="preserve"> </w:t>
      </w:r>
      <w:r w:rsidR="00BC5471">
        <w:rPr>
          <w:lang w:eastAsia="en-GB"/>
        </w:rPr>
        <w:t xml:space="preserve">version offers less guidance on the steps. </w:t>
      </w:r>
      <w:r w:rsidR="00E02081">
        <w:rPr>
          <w:lang w:eastAsia="en-GB"/>
        </w:rPr>
        <w:t xml:space="preserve">If appropriate, you can </w:t>
      </w:r>
      <w:r w:rsidR="00BC5471">
        <w:rPr>
          <w:lang w:eastAsia="en-GB"/>
        </w:rPr>
        <w:t xml:space="preserve">alter </w:t>
      </w:r>
      <w:r w:rsidR="00E02081">
        <w:rPr>
          <w:lang w:eastAsia="en-GB"/>
        </w:rPr>
        <w:t xml:space="preserve">the scaffolded </w:t>
      </w:r>
      <w:r w:rsidR="00BC5471">
        <w:rPr>
          <w:lang w:eastAsia="en-GB"/>
        </w:rPr>
        <w:t>version to remove some steps, for example prompts to convert volumes, or remov</w:t>
      </w:r>
      <w:r w:rsidR="00063496">
        <w:rPr>
          <w:lang w:eastAsia="en-GB"/>
        </w:rPr>
        <w:t>e</w:t>
      </w:r>
      <w:r w:rsidR="00BC5471">
        <w:rPr>
          <w:lang w:eastAsia="en-GB"/>
        </w:rPr>
        <w:t xml:space="preserve"> the provided equations.</w:t>
      </w:r>
    </w:p>
    <w:p w14:paraId="64956F4D" w14:textId="5E31F2FB" w:rsidR="00BC5471" w:rsidRDefault="00FD51CC" w:rsidP="00056090">
      <w:pPr>
        <w:pStyle w:val="RSC2-columntabs"/>
        <w:rPr>
          <w:lang w:eastAsia="en-GB"/>
        </w:rPr>
      </w:pPr>
      <w:r>
        <w:rPr>
          <w:lang w:eastAsia="en-GB"/>
        </w:rPr>
        <w:t xml:space="preserve">The </w:t>
      </w:r>
      <w:r w:rsidR="005904FA">
        <w:rPr>
          <w:lang w:eastAsia="en-GB"/>
        </w:rPr>
        <w:t xml:space="preserve">scaffolded </w:t>
      </w:r>
      <w:r>
        <w:rPr>
          <w:lang w:eastAsia="en-GB"/>
        </w:rPr>
        <w:t xml:space="preserve">sheet provides </w:t>
      </w:r>
      <w:r w:rsidR="00780400">
        <w:rPr>
          <w:lang w:eastAsia="en-GB"/>
        </w:rPr>
        <w:t>learners</w:t>
      </w:r>
      <w:r>
        <w:rPr>
          <w:lang w:eastAsia="en-GB"/>
        </w:rPr>
        <w:t xml:space="preserve"> with a results table and units. The </w:t>
      </w:r>
      <w:proofErr w:type="spellStart"/>
      <w:r w:rsidR="005904FA">
        <w:rPr>
          <w:lang w:eastAsia="en-GB"/>
        </w:rPr>
        <w:t>unscaffolded</w:t>
      </w:r>
      <w:proofErr w:type="spellEnd"/>
      <w:r w:rsidR="005904FA">
        <w:rPr>
          <w:lang w:eastAsia="en-GB"/>
        </w:rPr>
        <w:t xml:space="preserve"> </w:t>
      </w:r>
      <w:r>
        <w:rPr>
          <w:lang w:eastAsia="en-GB"/>
        </w:rPr>
        <w:t xml:space="preserve">sheet </w:t>
      </w:r>
      <w:r w:rsidR="003D3BCF">
        <w:rPr>
          <w:lang w:eastAsia="en-GB"/>
        </w:rPr>
        <w:t xml:space="preserve">requires </w:t>
      </w:r>
      <w:r w:rsidR="00780400">
        <w:rPr>
          <w:lang w:eastAsia="en-GB"/>
        </w:rPr>
        <w:t>learners</w:t>
      </w:r>
      <w:r w:rsidR="003D3BCF">
        <w:rPr>
          <w:lang w:eastAsia="en-GB"/>
        </w:rPr>
        <w:t xml:space="preserve"> to produce their own. </w:t>
      </w:r>
      <w:r w:rsidR="005904FA">
        <w:rPr>
          <w:lang w:eastAsia="en-GB"/>
        </w:rPr>
        <w:t>You can</w:t>
      </w:r>
      <w:r w:rsidR="003D3BCF">
        <w:rPr>
          <w:lang w:eastAsia="en-GB"/>
        </w:rPr>
        <w:t xml:space="preserve"> alter this to provide a table without units, for example.</w:t>
      </w:r>
    </w:p>
    <w:p w14:paraId="4144D1E3" w14:textId="6BF7F16C" w:rsidR="00475C0B" w:rsidRDefault="00475C0B" w:rsidP="00056090">
      <w:pPr>
        <w:pStyle w:val="RSC2-columntabs"/>
        <w:rPr>
          <w:lang w:eastAsia="en-GB"/>
        </w:rPr>
      </w:pPr>
      <w:r>
        <w:rPr>
          <w:lang w:eastAsia="en-GB"/>
        </w:rPr>
        <w:lastRenderedPageBreak/>
        <w:t>F</w:t>
      </w:r>
      <w:r w:rsidRPr="00475C0B">
        <w:rPr>
          <w:lang w:eastAsia="en-GB"/>
        </w:rPr>
        <w:t>or a simpler introduction to microscale titration which focuses on observing the end-point of the reaction</w:t>
      </w:r>
      <w:r>
        <w:rPr>
          <w:lang w:eastAsia="en-GB"/>
        </w:rPr>
        <w:t>,</w:t>
      </w:r>
      <w:r w:rsidRPr="00475C0B">
        <w:rPr>
          <w:lang w:eastAsia="en-GB"/>
        </w:rPr>
        <w:t xml:space="preserve"> try </w:t>
      </w:r>
      <w:r w:rsidR="00BB2FAB">
        <w:rPr>
          <w:lang w:eastAsia="en-GB"/>
        </w:rPr>
        <w:t>this</w:t>
      </w:r>
      <w:r w:rsidRPr="00475C0B">
        <w:rPr>
          <w:lang w:eastAsia="en-GB"/>
        </w:rPr>
        <w:t xml:space="preserve"> </w:t>
      </w:r>
      <w:r w:rsidR="00BB2FAB">
        <w:rPr>
          <w:lang w:eastAsia="en-GB"/>
        </w:rPr>
        <w:t xml:space="preserve">Microscale titration experiment with integrated instructions: </w:t>
      </w:r>
      <w:hyperlink r:id="rId11" w:history="1">
        <w:r w:rsidRPr="00525C3E">
          <w:rPr>
            <w:rStyle w:val="Hyperlink"/>
            <w:lang w:eastAsia="en-GB"/>
          </w:rPr>
          <w:t>rsc.li/</w:t>
        </w:r>
        <w:r w:rsidR="008B25E6" w:rsidRPr="00525C3E">
          <w:rPr>
            <w:rStyle w:val="Hyperlink"/>
            <w:lang w:eastAsia="en-GB"/>
          </w:rPr>
          <w:t>rsc.li/4icIogx</w:t>
        </w:r>
      </w:hyperlink>
    </w:p>
    <w:p w14:paraId="31889672" w14:textId="77777777" w:rsidR="00A84218" w:rsidRDefault="00A84218" w:rsidP="00A84218">
      <w:pPr>
        <w:pStyle w:val="RSCH2"/>
        <w:rPr>
          <w:lang w:eastAsia="en-GB"/>
        </w:rPr>
      </w:pPr>
      <w:r>
        <w:rPr>
          <w:lang w:eastAsia="en-GB"/>
        </w:rPr>
        <w:t>Technician notes</w:t>
      </w:r>
    </w:p>
    <w:p w14:paraId="37C4F281" w14:textId="77777777" w:rsidR="00A84218" w:rsidRDefault="00A84218" w:rsidP="00A84218">
      <w:pPr>
        <w:pStyle w:val="RSCH3"/>
        <w:rPr>
          <w:lang w:eastAsia="en-GB"/>
        </w:rPr>
      </w:pPr>
      <w:r>
        <w:rPr>
          <w:lang w:eastAsia="en-GB"/>
        </w:rPr>
        <w:t>Equipment</w:t>
      </w:r>
    </w:p>
    <w:p w14:paraId="73C74A59" w14:textId="65BEC484" w:rsidR="00682E2D" w:rsidRDefault="00682E2D" w:rsidP="00682E2D">
      <w:pPr>
        <w:pStyle w:val="RSCH4"/>
        <w:rPr>
          <w:lang w:eastAsia="en-GB"/>
        </w:rPr>
      </w:pPr>
      <w:r>
        <w:rPr>
          <w:lang w:eastAsia="en-GB"/>
        </w:rPr>
        <w:t>Apparatus</w:t>
      </w:r>
    </w:p>
    <w:p w14:paraId="0CCD6934" w14:textId="7DF4C967" w:rsidR="00DB5048" w:rsidRPr="00DB5048" w:rsidRDefault="00DB5048" w:rsidP="00DB5048">
      <w:pPr>
        <w:pStyle w:val="RSCBulletedlist"/>
        <w:rPr>
          <w:lang w:eastAsia="en-GB"/>
        </w:rPr>
      </w:pPr>
      <w:r w:rsidRPr="00DB5048">
        <w:rPr>
          <w:lang w:eastAsia="en-GB"/>
        </w:rPr>
        <w:t>Graduated glass pipette, 2 cm</w:t>
      </w:r>
      <w:r w:rsidRPr="00DB5048">
        <w:rPr>
          <w:vertAlign w:val="superscript"/>
          <w:lang w:eastAsia="en-GB"/>
        </w:rPr>
        <w:t>3</w:t>
      </w:r>
    </w:p>
    <w:p w14:paraId="3F49A863" w14:textId="280F29EE" w:rsidR="00DB5048" w:rsidRPr="00DB5048" w:rsidRDefault="00DB5048" w:rsidP="00DB5048">
      <w:pPr>
        <w:pStyle w:val="RSCBulletedlist"/>
        <w:rPr>
          <w:lang w:eastAsia="en-GB"/>
        </w:rPr>
      </w:pPr>
      <w:r w:rsidRPr="00DB5048">
        <w:rPr>
          <w:lang w:eastAsia="en-GB"/>
        </w:rPr>
        <w:t>Pipette, 1 cm</w:t>
      </w:r>
      <w:r w:rsidRPr="00DB5048">
        <w:rPr>
          <w:vertAlign w:val="superscript"/>
          <w:lang w:eastAsia="en-GB"/>
        </w:rPr>
        <w:t>3</w:t>
      </w:r>
      <w:r w:rsidRPr="00DB5048">
        <w:rPr>
          <w:lang w:eastAsia="en-GB"/>
        </w:rPr>
        <w:t>, and pipette filler to fit (or a 1 cm</w:t>
      </w:r>
      <w:r w:rsidRPr="00DB5048">
        <w:rPr>
          <w:vertAlign w:val="superscript"/>
          <w:lang w:eastAsia="en-GB"/>
        </w:rPr>
        <w:t>3</w:t>
      </w:r>
      <w:r w:rsidRPr="00DB5048">
        <w:rPr>
          <w:lang w:eastAsia="en-GB"/>
        </w:rPr>
        <w:t> plastic syringe)</w:t>
      </w:r>
    </w:p>
    <w:p w14:paraId="07CDB629" w14:textId="739A1B45" w:rsidR="00DB5048" w:rsidRPr="00DB5048" w:rsidRDefault="00DB5048" w:rsidP="00DB5048">
      <w:pPr>
        <w:pStyle w:val="RSCBulletedlist"/>
        <w:rPr>
          <w:lang w:eastAsia="en-GB"/>
        </w:rPr>
      </w:pPr>
      <w:r w:rsidRPr="00DB5048">
        <w:rPr>
          <w:lang w:eastAsia="en-GB"/>
        </w:rPr>
        <w:t>Plastic syringe, 10 cm</w:t>
      </w:r>
      <w:r w:rsidRPr="00DB5048">
        <w:rPr>
          <w:vertAlign w:val="superscript"/>
          <w:lang w:eastAsia="en-GB"/>
        </w:rPr>
        <w:t>3</w:t>
      </w:r>
    </w:p>
    <w:p w14:paraId="79D1EE5A" w14:textId="6918B1FA" w:rsidR="00DB5048" w:rsidRPr="00DB5048" w:rsidRDefault="00DB5048" w:rsidP="00DB5048">
      <w:pPr>
        <w:pStyle w:val="RSCBulletedlist"/>
        <w:rPr>
          <w:lang w:eastAsia="en-GB"/>
        </w:rPr>
      </w:pPr>
      <w:r w:rsidRPr="00DB5048">
        <w:rPr>
          <w:lang w:eastAsia="en-GB"/>
        </w:rPr>
        <w:t>Fine-tip poly(ethene) dropping pipette</w:t>
      </w:r>
    </w:p>
    <w:p w14:paraId="05B1DA06" w14:textId="3E4D1305" w:rsidR="00DB5048" w:rsidRPr="00DB5048" w:rsidRDefault="00DB5048" w:rsidP="00DB5048">
      <w:pPr>
        <w:pStyle w:val="RSCBulletedlist"/>
        <w:rPr>
          <w:lang w:eastAsia="en-GB"/>
        </w:rPr>
      </w:pPr>
      <w:r w:rsidRPr="00DB5048">
        <w:rPr>
          <w:lang w:eastAsia="en-GB"/>
        </w:rPr>
        <w:t>Small lengths of rubber, plastic or silicone tubing</w:t>
      </w:r>
    </w:p>
    <w:p w14:paraId="1305DE3E" w14:textId="5E03BAC4" w:rsidR="00DB5048" w:rsidRPr="00DB5048" w:rsidRDefault="00DB5048" w:rsidP="00DB5048">
      <w:pPr>
        <w:pStyle w:val="RSCBulletedlist"/>
        <w:rPr>
          <w:lang w:eastAsia="en-GB"/>
        </w:rPr>
      </w:pPr>
      <w:r w:rsidRPr="00DB5048">
        <w:rPr>
          <w:lang w:eastAsia="en-GB"/>
        </w:rPr>
        <w:t>Beakers, 10 cm</w:t>
      </w:r>
      <w:r w:rsidRPr="00DB5048">
        <w:rPr>
          <w:vertAlign w:val="superscript"/>
          <w:lang w:eastAsia="en-GB"/>
        </w:rPr>
        <w:t>3</w:t>
      </w:r>
      <w:r w:rsidRPr="00DB5048">
        <w:rPr>
          <w:lang w:eastAsia="en-GB"/>
        </w:rPr>
        <w:t>, x</w:t>
      </w:r>
      <w:r w:rsidR="005F6673">
        <w:rPr>
          <w:lang w:eastAsia="en-GB"/>
        </w:rPr>
        <w:t xml:space="preserve"> </w:t>
      </w:r>
      <w:r w:rsidRPr="00DB5048">
        <w:rPr>
          <w:lang w:eastAsia="en-GB"/>
        </w:rPr>
        <w:t>2</w:t>
      </w:r>
    </w:p>
    <w:p w14:paraId="632B9DA1" w14:textId="0BFD551E" w:rsidR="00DB5048" w:rsidRDefault="00DB5048" w:rsidP="00DB5048">
      <w:pPr>
        <w:pStyle w:val="RSCBulletedlist"/>
        <w:rPr>
          <w:lang w:eastAsia="en-GB"/>
        </w:rPr>
      </w:pPr>
      <w:r w:rsidRPr="00DB5048">
        <w:rPr>
          <w:lang w:eastAsia="en-GB"/>
        </w:rPr>
        <w:t>Clamp stand with two bosses and clamps</w:t>
      </w:r>
    </w:p>
    <w:p w14:paraId="04FCAC9C" w14:textId="1B6B19EE" w:rsidR="00F41FFC" w:rsidRDefault="00F41FFC" w:rsidP="00DB5048">
      <w:pPr>
        <w:pStyle w:val="RSCBulletedlist"/>
        <w:rPr>
          <w:lang w:eastAsia="en-GB"/>
        </w:rPr>
      </w:pPr>
      <w:r>
        <w:rPr>
          <w:lang w:eastAsia="en-GB"/>
        </w:rPr>
        <w:t>Safety glasses</w:t>
      </w:r>
    </w:p>
    <w:p w14:paraId="2AA56A19" w14:textId="62C34D1D" w:rsidR="00DB5048" w:rsidRDefault="00DB5048" w:rsidP="00DB5048">
      <w:pPr>
        <w:pStyle w:val="RSCH4"/>
        <w:rPr>
          <w:lang w:eastAsia="en-GB"/>
        </w:rPr>
      </w:pPr>
      <w:r>
        <w:rPr>
          <w:lang w:eastAsia="en-GB"/>
        </w:rPr>
        <w:t>Chemicals</w:t>
      </w:r>
    </w:p>
    <w:p w14:paraId="4C3D8F95" w14:textId="75478EA8" w:rsidR="00DB5048" w:rsidRPr="00DB5048" w:rsidRDefault="00DB5048" w:rsidP="00DB5048">
      <w:pPr>
        <w:pStyle w:val="RSCBulletedlist"/>
        <w:rPr>
          <w:lang w:eastAsia="en-GB"/>
        </w:rPr>
      </w:pPr>
      <w:r w:rsidRPr="00DB5048">
        <w:rPr>
          <w:lang w:eastAsia="en-GB"/>
        </w:rPr>
        <w:t>Dilute hydrochloric acid, 0.10 M, about 10 cm</w:t>
      </w:r>
      <w:r w:rsidRPr="00DB5048">
        <w:rPr>
          <w:vertAlign w:val="superscript"/>
          <w:lang w:eastAsia="en-GB"/>
        </w:rPr>
        <w:t>3</w:t>
      </w:r>
    </w:p>
    <w:p w14:paraId="70BA35CC" w14:textId="563D70BF" w:rsidR="00DB5048" w:rsidRPr="00DB5048" w:rsidRDefault="00DB5048" w:rsidP="00DB5048">
      <w:pPr>
        <w:pStyle w:val="RSCBulletedlist"/>
        <w:rPr>
          <w:lang w:eastAsia="en-GB"/>
        </w:rPr>
      </w:pPr>
      <w:r w:rsidRPr="00DB5048">
        <w:rPr>
          <w:lang w:eastAsia="en-GB"/>
        </w:rPr>
        <w:t>Sodium hydroxide solution, approx. 0.1 M (IRRITANT), about 10 cm</w:t>
      </w:r>
      <w:r w:rsidRPr="00DB5048">
        <w:rPr>
          <w:vertAlign w:val="superscript"/>
          <w:lang w:eastAsia="en-GB"/>
        </w:rPr>
        <w:t>3</w:t>
      </w:r>
    </w:p>
    <w:p w14:paraId="32AEB7D0" w14:textId="56F4B406" w:rsidR="00DB5048" w:rsidRDefault="00DB5048" w:rsidP="00DB5048">
      <w:pPr>
        <w:pStyle w:val="RSCBulletedlist"/>
        <w:rPr>
          <w:lang w:eastAsia="en-GB"/>
        </w:rPr>
      </w:pPr>
      <w:r w:rsidRPr="00DB5048">
        <w:rPr>
          <w:lang w:eastAsia="en-GB"/>
        </w:rPr>
        <w:t>Phenolphthalein indicator solution (HIGHLY FLAMMABLE), a few drops</w:t>
      </w:r>
    </w:p>
    <w:p w14:paraId="76DF5243" w14:textId="11DC3770" w:rsidR="00A84218" w:rsidRDefault="00A84218" w:rsidP="00DB5048">
      <w:pPr>
        <w:pStyle w:val="RSCBulletedlist"/>
        <w:numPr>
          <w:ilvl w:val="0"/>
          <w:numId w:val="0"/>
        </w:numPr>
        <w:rPr>
          <w:lang w:eastAsia="en-GB"/>
        </w:rPr>
      </w:pPr>
    </w:p>
    <w:p w14:paraId="45720359" w14:textId="77777777" w:rsidR="0004123D" w:rsidRDefault="0004123D" w:rsidP="0004123D">
      <w:pPr>
        <w:pStyle w:val="RSCH3"/>
        <w:rPr>
          <w:rFonts w:cs="Times New Roman"/>
          <w:lang w:eastAsia="en-GB"/>
        </w:rPr>
      </w:pPr>
      <w:r>
        <w:t>Preparing the microscale titration apparatus</w:t>
      </w:r>
    </w:p>
    <w:p w14:paraId="23958F8E" w14:textId="7673B4F1" w:rsidR="0004123D" w:rsidRPr="0004123D" w:rsidRDefault="0004123D" w:rsidP="0004123D">
      <w:pPr>
        <w:pStyle w:val="RSCBasictext"/>
        <w:rPr>
          <w:lang w:eastAsia="en-GB"/>
        </w:rPr>
      </w:pPr>
      <w:r w:rsidRPr="0004123D">
        <w:rPr>
          <w:lang w:eastAsia="en-GB"/>
        </w:rPr>
        <w:t>The microscale titration apparatus</w:t>
      </w:r>
      <w:r w:rsidR="004D45ED">
        <w:rPr>
          <w:lang w:eastAsia="en-GB"/>
        </w:rPr>
        <w:t>, or microscale burette,</w:t>
      </w:r>
      <w:r w:rsidRPr="0004123D">
        <w:rPr>
          <w:lang w:eastAsia="en-GB"/>
        </w:rPr>
        <w:t xml:space="preserve"> replaces the normal burette. To make the microscale titration apparatus, cut </w:t>
      </w:r>
      <w:r w:rsidR="005E158D">
        <w:rPr>
          <w:lang w:eastAsia="en-GB"/>
        </w:rPr>
        <w:t xml:space="preserve">off </w:t>
      </w:r>
      <w:r w:rsidRPr="0004123D">
        <w:rPr>
          <w:lang w:eastAsia="en-GB"/>
        </w:rPr>
        <w:t>the tip end of</w:t>
      </w:r>
      <w:r w:rsidR="004972B9">
        <w:rPr>
          <w:lang w:eastAsia="en-GB"/>
        </w:rPr>
        <w:t xml:space="preserve"> </w:t>
      </w:r>
      <w:r w:rsidRPr="0004123D">
        <w:rPr>
          <w:lang w:eastAsia="en-GB"/>
        </w:rPr>
        <w:t>a fine-tip poly(ethene) dropping pipette and push the tip carefully onto the end of a 2 cm</w:t>
      </w:r>
      <w:r w:rsidRPr="0004123D">
        <w:rPr>
          <w:vertAlign w:val="superscript"/>
          <w:lang w:eastAsia="en-GB"/>
        </w:rPr>
        <w:t>3</w:t>
      </w:r>
      <w:r w:rsidRPr="0004123D">
        <w:rPr>
          <w:lang w:eastAsia="en-GB"/>
        </w:rPr>
        <w:t> graduated glass pipette. Clamp a plastic syringe, 10 cm</w:t>
      </w:r>
      <w:r w:rsidRPr="0004123D">
        <w:rPr>
          <w:vertAlign w:val="superscript"/>
          <w:lang w:eastAsia="en-GB"/>
        </w:rPr>
        <w:t>3</w:t>
      </w:r>
      <w:r w:rsidR="00DF7A42" w:rsidRPr="00243762">
        <w:rPr>
          <w:lang w:eastAsia="en-GB"/>
        </w:rPr>
        <w:t xml:space="preserve"> </w:t>
      </w:r>
      <w:r w:rsidRPr="0004123D">
        <w:rPr>
          <w:lang w:eastAsia="en-GB"/>
        </w:rPr>
        <w:t xml:space="preserve">capacity, above the adapted pipette as shown in the picture, and connect the two with rubber, plastic or silicone tubing. Because the diameters of the syringe nozzle and of the top of the pipette may be quite different, two pieces of tubing, one to fit each end, will probably be needed; these can then be joined by an adaptor. A suitable adaptor can be made by cutting </w:t>
      </w:r>
      <w:r w:rsidR="00A91811">
        <w:rPr>
          <w:lang w:eastAsia="en-GB"/>
        </w:rPr>
        <w:t xml:space="preserve">off </w:t>
      </w:r>
      <w:r w:rsidRPr="0004123D">
        <w:rPr>
          <w:lang w:eastAsia="en-GB"/>
        </w:rPr>
        <w:t xml:space="preserve">the lower end </w:t>
      </w:r>
      <w:r w:rsidR="00B25464">
        <w:rPr>
          <w:lang w:eastAsia="en-GB"/>
        </w:rPr>
        <w:t xml:space="preserve">of </w:t>
      </w:r>
      <w:r w:rsidRPr="0004123D">
        <w:rPr>
          <w:lang w:eastAsia="en-GB"/>
        </w:rPr>
        <w:t>a 1 cm</w:t>
      </w:r>
      <w:r w:rsidRPr="0004123D">
        <w:rPr>
          <w:vertAlign w:val="superscript"/>
          <w:lang w:eastAsia="en-GB"/>
        </w:rPr>
        <w:t>3</w:t>
      </w:r>
      <w:r w:rsidRPr="0004123D">
        <w:rPr>
          <w:lang w:eastAsia="en-GB"/>
        </w:rPr>
        <w:t> plastic syringe, such that the syringe body diameter fits the wider tubing, and the syringe tip fits the narrower tubing</w:t>
      </w:r>
      <w:r w:rsidR="00D0630C">
        <w:rPr>
          <w:lang w:eastAsia="en-GB"/>
        </w:rPr>
        <w:t xml:space="preserve"> </w:t>
      </w:r>
      <w:r w:rsidRPr="0004123D">
        <w:rPr>
          <w:lang w:eastAsia="en-GB"/>
        </w:rPr>
        <w:t>(</w:t>
      </w:r>
      <w:r w:rsidR="00D0630C">
        <w:rPr>
          <w:lang w:eastAsia="en-GB"/>
        </w:rPr>
        <w:t>s</w:t>
      </w:r>
      <w:r w:rsidRPr="0004123D">
        <w:rPr>
          <w:lang w:eastAsia="en-GB"/>
        </w:rPr>
        <w:t>ee the diagram and photograph</w:t>
      </w:r>
      <w:r w:rsidR="005D6932">
        <w:rPr>
          <w:lang w:eastAsia="en-GB"/>
        </w:rPr>
        <w:t xml:space="preserve">: </w:t>
      </w:r>
      <w:r w:rsidR="005D6932" w:rsidRPr="005D6932">
        <w:rPr>
          <w:lang w:eastAsia="en-GB"/>
        </w:rPr>
        <w:t>rsc.li/4brRDbJ</w:t>
      </w:r>
      <w:r w:rsidRPr="0004123D">
        <w:rPr>
          <w:lang w:eastAsia="en-GB"/>
        </w:rPr>
        <w:t>)</w:t>
      </w:r>
      <w:r w:rsidR="00D0630C">
        <w:rPr>
          <w:lang w:eastAsia="en-GB"/>
        </w:rPr>
        <w:t>.</w:t>
      </w:r>
    </w:p>
    <w:p w14:paraId="3BB0EEBD" w14:textId="60D647D8" w:rsidR="0004123D" w:rsidRDefault="00780400" w:rsidP="0004123D">
      <w:pPr>
        <w:pStyle w:val="RSCBasictext"/>
        <w:rPr>
          <w:lang w:eastAsia="en-GB"/>
        </w:rPr>
      </w:pPr>
      <w:r>
        <w:rPr>
          <w:lang w:eastAsia="en-GB"/>
        </w:rPr>
        <w:t>Learners</w:t>
      </w:r>
      <w:r w:rsidR="0004123D" w:rsidRPr="0004123D">
        <w:rPr>
          <w:lang w:eastAsia="en-GB"/>
        </w:rPr>
        <w:t xml:space="preserve"> </w:t>
      </w:r>
      <w:r w:rsidR="007073FD">
        <w:rPr>
          <w:lang w:eastAsia="en-GB"/>
        </w:rPr>
        <w:t>can</w:t>
      </w:r>
      <w:r w:rsidR="007073FD" w:rsidRPr="0004123D">
        <w:rPr>
          <w:lang w:eastAsia="en-GB"/>
        </w:rPr>
        <w:t xml:space="preserve"> </w:t>
      </w:r>
      <w:r w:rsidR="0004123D" w:rsidRPr="0004123D">
        <w:rPr>
          <w:lang w:eastAsia="en-GB"/>
        </w:rPr>
        <w:t xml:space="preserve">build their own microscale titration apparatus from supplied components, but this is likely to take the </w:t>
      </w:r>
      <w:r>
        <w:rPr>
          <w:lang w:eastAsia="en-GB"/>
        </w:rPr>
        <w:t>learners</w:t>
      </w:r>
      <w:r w:rsidR="0004123D" w:rsidRPr="0004123D">
        <w:rPr>
          <w:lang w:eastAsia="en-GB"/>
        </w:rPr>
        <w:t xml:space="preserve"> more time than the titration itself! For that reason, it is preferable to prepare a class set of these in advance</w:t>
      </w:r>
      <w:r w:rsidR="00507238">
        <w:rPr>
          <w:lang w:eastAsia="en-GB"/>
        </w:rPr>
        <w:t xml:space="preserve"> (or r</w:t>
      </w:r>
      <w:r w:rsidR="00804810">
        <w:rPr>
          <w:lang w:eastAsia="en-GB"/>
        </w:rPr>
        <w:t>eady-made microscale titration kits can be purchased online</w:t>
      </w:r>
      <w:r w:rsidR="00507238">
        <w:rPr>
          <w:lang w:eastAsia="en-GB"/>
        </w:rPr>
        <w:t>)</w:t>
      </w:r>
      <w:r w:rsidR="00804810">
        <w:rPr>
          <w:lang w:eastAsia="en-GB"/>
        </w:rPr>
        <w:t>.</w:t>
      </w:r>
    </w:p>
    <w:p w14:paraId="1CE741E6" w14:textId="07833CFF" w:rsidR="00207CDA" w:rsidRPr="0004123D" w:rsidRDefault="00513AAB" w:rsidP="0004123D">
      <w:pPr>
        <w:pStyle w:val="RSCBasictext"/>
      </w:pPr>
      <w:r w:rsidRPr="003D4B9F">
        <w:lastRenderedPageBreak/>
        <w:t>A suitable poly(ethene) dropping pipette would be fine-tip standard, non-sterile, 3.3 cm</w:t>
      </w:r>
      <w:r w:rsidRPr="003D4B9F">
        <w:rPr>
          <w:vertAlign w:val="superscript"/>
        </w:rPr>
        <w:t>3 </w:t>
      </w:r>
      <w:r w:rsidRPr="003D4B9F">
        <w:t>capacity.</w:t>
      </w:r>
    </w:p>
    <w:p w14:paraId="05DC7EAB" w14:textId="1C5E166D" w:rsidR="00A84218" w:rsidRDefault="00A84218" w:rsidP="00A84218">
      <w:pPr>
        <w:pStyle w:val="RSCH3"/>
        <w:rPr>
          <w:lang w:eastAsia="en-GB"/>
        </w:rPr>
      </w:pPr>
      <w:r>
        <w:rPr>
          <w:lang w:eastAsia="en-GB"/>
        </w:rPr>
        <w:t>Safety</w:t>
      </w:r>
      <w:r w:rsidR="00362CC1">
        <w:rPr>
          <w:lang w:eastAsia="en-GB"/>
        </w:rPr>
        <w:t xml:space="preserve"> and hazards</w:t>
      </w:r>
    </w:p>
    <w:p w14:paraId="705D3257" w14:textId="4EE7D83D" w:rsidR="003D4B9F" w:rsidRPr="003D4B9F" w:rsidRDefault="003D4B9F" w:rsidP="003D4B9F">
      <w:pPr>
        <w:pStyle w:val="RSCBulletedlist"/>
      </w:pPr>
      <w:r w:rsidRPr="00072AD1">
        <w:t>Read our standard health and safety guidance</w:t>
      </w:r>
      <w:r w:rsidR="00072AD1">
        <w:t xml:space="preserve">: </w:t>
      </w:r>
      <w:hyperlink r:id="rId12" w:history="1">
        <w:r w:rsidR="00072AD1" w:rsidRPr="007B7783">
          <w:rPr>
            <w:rStyle w:val="Hyperlink"/>
          </w:rPr>
          <w:t>rsc.li/3zyJLkx</w:t>
        </w:r>
      </w:hyperlink>
    </w:p>
    <w:p w14:paraId="42612113" w14:textId="19FA239A" w:rsidR="003D4B9F" w:rsidRPr="003D4B9F" w:rsidRDefault="003D4B9F" w:rsidP="003D4B9F">
      <w:pPr>
        <w:pStyle w:val="RSCBulletedlist"/>
      </w:pPr>
      <w:r w:rsidRPr="003D4B9F">
        <w:t xml:space="preserve">Wear </w:t>
      </w:r>
      <w:r w:rsidR="00882754">
        <w:t>safety glasses</w:t>
      </w:r>
      <w:r w:rsidRPr="003D4B9F">
        <w:t xml:space="preserve"> throughout.</w:t>
      </w:r>
    </w:p>
    <w:p w14:paraId="233EBE48" w14:textId="5382F077" w:rsidR="003D4B9F" w:rsidRPr="003D4B9F" w:rsidRDefault="003D4B9F" w:rsidP="003D4B9F">
      <w:pPr>
        <w:pStyle w:val="RSCBulletedlist"/>
      </w:pPr>
      <w:r w:rsidRPr="003D4B9F">
        <w:t xml:space="preserve">Dilute hydrochloric acid, </w:t>
      </w:r>
      <w:r w:rsidRPr="00D1638E">
        <w:rPr>
          <w:rFonts w:ascii="Cambria Math" w:hAnsi="Cambria Math"/>
        </w:rPr>
        <w:t>HCl</w:t>
      </w:r>
      <w:r w:rsidRPr="003D4B9F">
        <w:t>(</w:t>
      </w:r>
      <w:proofErr w:type="spellStart"/>
      <w:r w:rsidRPr="003D4B9F">
        <w:t>aq</w:t>
      </w:r>
      <w:proofErr w:type="spellEnd"/>
      <w:r w:rsidRPr="003D4B9F">
        <w:t>) – see CLEAPSS </w:t>
      </w:r>
      <w:proofErr w:type="spellStart"/>
      <w:r w:rsidRPr="003D4B9F">
        <w:t>Hazcard</w:t>
      </w:r>
      <w:proofErr w:type="spellEnd"/>
      <w:r w:rsidRPr="003D4B9F">
        <w:t> </w:t>
      </w:r>
      <w:hyperlink r:id="rId13" w:history="1">
        <w:r w:rsidRPr="003D4B9F">
          <w:rPr>
            <w:rStyle w:val="Hyperlink"/>
          </w:rPr>
          <w:t>HC047a</w:t>
        </w:r>
      </w:hyperlink>
      <w:r w:rsidRPr="003D4B9F">
        <w:t> and CLEAPSS Recipe Book RB043</w:t>
      </w:r>
      <w:r w:rsidR="00EE4966">
        <w:t xml:space="preserve"> or </w:t>
      </w:r>
      <w:r w:rsidR="00EE4966" w:rsidRPr="00EE4966">
        <w:t>refer to your local safety advisory body.</w:t>
      </w:r>
    </w:p>
    <w:p w14:paraId="002BD3CB" w14:textId="1E0AFBD2" w:rsidR="000C5512" w:rsidRDefault="001C27E3" w:rsidP="000C5512">
      <w:pPr>
        <w:pStyle w:val="RSCBulletedlist"/>
      </w:pPr>
      <w:r>
        <w:rPr>
          <w:noProof/>
        </w:rPr>
        <w:drawing>
          <wp:anchor distT="0" distB="0" distL="114300" distR="114300" simplePos="0" relativeHeight="251659264" behindDoc="0" locked="0" layoutInCell="1" allowOverlap="1" wp14:anchorId="5E2CC0E3" wp14:editId="4E0AADB6">
            <wp:simplePos x="0" y="0"/>
            <wp:positionH relativeFrom="column">
              <wp:posOffset>5038725</wp:posOffset>
            </wp:positionH>
            <wp:positionV relativeFrom="paragraph">
              <wp:posOffset>759460</wp:posOffset>
            </wp:positionV>
            <wp:extent cx="409575" cy="409575"/>
            <wp:effectExtent l="0" t="0" r="9525" b="9525"/>
            <wp:wrapSquare wrapText="bothSides"/>
            <wp:docPr id="1522795686" name="Picture 1"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zard symbol: flamma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2AE2">
        <w:rPr>
          <w:noProof/>
          <w:vertAlign w:val="superscript"/>
        </w:rPr>
        <w:drawing>
          <wp:anchor distT="0" distB="0" distL="114300" distR="114300" simplePos="0" relativeHeight="251660288" behindDoc="0" locked="0" layoutInCell="1" allowOverlap="1" wp14:anchorId="2AAE0B3E" wp14:editId="443BCFF9">
            <wp:simplePos x="0" y="0"/>
            <wp:positionH relativeFrom="column">
              <wp:posOffset>5448300</wp:posOffset>
            </wp:positionH>
            <wp:positionV relativeFrom="paragraph">
              <wp:posOffset>19050</wp:posOffset>
            </wp:positionV>
            <wp:extent cx="523875" cy="478155"/>
            <wp:effectExtent l="0" t="0" r="9525" b="0"/>
            <wp:wrapThrough wrapText="bothSides">
              <wp:wrapPolygon edited="0">
                <wp:start x="0" y="0"/>
                <wp:lineTo x="0" y="20653"/>
                <wp:lineTo x="21207" y="20653"/>
                <wp:lineTo x="21207" y="0"/>
                <wp:lineTo x="0" y="0"/>
              </wp:wrapPolygon>
            </wp:wrapThrough>
            <wp:docPr id="305481912" name="Picture 3" descr="Irritant hazard symbol: an exclamation mark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rritant hazard symbol: an exclamation mark inside a red diamo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875" cy="478155"/>
                    </a:xfrm>
                    <a:prstGeom prst="rect">
                      <a:avLst/>
                    </a:prstGeom>
                    <a:noFill/>
                    <a:ln>
                      <a:noFill/>
                    </a:ln>
                  </pic:spPr>
                </pic:pic>
              </a:graphicData>
            </a:graphic>
          </wp:anchor>
        </w:drawing>
      </w:r>
      <w:r w:rsidR="003D4B9F" w:rsidRPr="003D4B9F">
        <w:t xml:space="preserve">Sodium hydroxide solution, </w:t>
      </w:r>
      <w:r w:rsidR="003D4B9F" w:rsidRPr="00414F81">
        <w:rPr>
          <w:rFonts w:ascii="Cambria Math" w:hAnsi="Cambria Math"/>
        </w:rPr>
        <w:t>NaOH</w:t>
      </w:r>
      <w:r w:rsidR="003D4B9F" w:rsidRPr="003D4B9F">
        <w:t>(</w:t>
      </w:r>
      <w:proofErr w:type="spellStart"/>
      <w:r w:rsidR="003D4B9F" w:rsidRPr="003D4B9F">
        <w:t>aq</w:t>
      </w:r>
      <w:proofErr w:type="spellEnd"/>
      <w:r w:rsidR="00774953">
        <w:t xml:space="preserve">), </w:t>
      </w:r>
      <w:r w:rsidR="00774953" w:rsidRPr="00760EA7">
        <w:t>approx. 0.1 M</w:t>
      </w:r>
      <w:r w:rsidR="00774953">
        <w:t xml:space="preserve">, </w:t>
      </w:r>
      <w:r w:rsidR="003D4B9F" w:rsidRPr="003D4B9F">
        <w:t>(IRRITANT at concentration used) – see CLEAPSS </w:t>
      </w:r>
      <w:proofErr w:type="spellStart"/>
      <w:r w:rsidR="003D4B9F" w:rsidRPr="003D4B9F">
        <w:t>Hazcard</w:t>
      </w:r>
      <w:proofErr w:type="spellEnd"/>
      <w:r w:rsidR="003D4B9F" w:rsidRPr="003D4B9F">
        <w:t> </w:t>
      </w:r>
      <w:hyperlink r:id="rId16" w:history="1">
        <w:r w:rsidR="003D4B9F" w:rsidRPr="003D4B9F">
          <w:rPr>
            <w:rStyle w:val="Hyperlink"/>
          </w:rPr>
          <w:t>HC091a</w:t>
        </w:r>
      </w:hyperlink>
      <w:r w:rsidR="003D4B9F" w:rsidRPr="003D4B9F">
        <w:t> and CLEAPSS Recipe Book RB085</w:t>
      </w:r>
      <w:r w:rsidR="00EE4966">
        <w:t xml:space="preserve"> </w:t>
      </w:r>
      <w:r w:rsidR="00EE4966" w:rsidRPr="00EE4966">
        <w:t>or refer to your local safety advisory body</w:t>
      </w:r>
      <w:r w:rsidR="003D4B9F" w:rsidRPr="003D4B9F">
        <w:t>. </w:t>
      </w:r>
      <w:r w:rsidR="00780400">
        <w:t>Learners</w:t>
      </w:r>
      <w:r w:rsidR="003D4B9F" w:rsidRPr="003D4B9F">
        <w:t xml:space="preserve"> are to calculate the concentration of the sodium hydroxide solution so the bottle should not be labelled with the exact concentration.</w:t>
      </w:r>
    </w:p>
    <w:p w14:paraId="4121E1A6" w14:textId="5C5005AC" w:rsidR="003D4B9F" w:rsidRPr="003D4B9F" w:rsidRDefault="003D4B9F" w:rsidP="00D1638E">
      <w:pPr>
        <w:pStyle w:val="RSCBulletedlist"/>
      </w:pPr>
      <w:r w:rsidRPr="003D4B9F">
        <w:t>Phenolphthalein indicator solution (HIGHLY FLAMMABLE) – see</w:t>
      </w:r>
      <w:r w:rsidR="00DB0FE8">
        <w:t xml:space="preserve"> </w:t>
      </w:r>
      <w:r w:rsidRPr="003D4B9F">
        <w:t>CLEAPSS </w:t>
      </w:r>
      <w:proofErr w:type="spellStart"/>
      <w:r w:rsidRPr="003D4B9F">
        <w:t>Hazcard</w:t>
      </w:r>
      <w:proofErr w:type="spellEnd"/>
      <w:r w:rsidRPr="003D4B9F">
        <w:t> </w:t>
      </w:r>
      <w:hyperlink r:id="rId17" w:history="1">
        <w:r w:rsidRPr="003D4B9F">
          <w:rPr>
            <w:rStyle w:val="Hyperlink"/>
          </w:rPr>
          <w:t>HC032</w:t>
        </w:r>
      </w:hyperlink>
      <w:r w:rsidRPr="003D4B9F">
        <w:t> and CLEAPSS Recipe Book RB000</w:t>
      </w:r>
      <w:r w:rsidR="00D1638E">
        <w:t xml:space="preserve"> or </w:t>
      </w:r>
      <w:r w:rsidR="00D1638E" w:rsidRPr="00D1638E">
        <w:t>refer to your local safety advisory body.</w:t>
      </w:r>
    </w:p>
    <w:p w14:paraId="57068C63" w14:textId="6F42CD6D" w:rsidR="003D4B9F" w:rsidRDefault="003D4B9F" w:rsidP="003D4B9F">
      <w:pPr>
        <w:pStyle w:val="RSCH2"/>
      </w:pPr>
      <w:r>
        <w:t>Method</w:t>
      </w:r>
    </w:p>
    <w:p w14:paraId="415A32FF" w14:textId="1FE84016" w:rsidR="003D4B9F" w:rsidRDefault="00E624A7" w:rsidP="003D4B9F">
      <w:pPr>
        <w:pStyle w:val="RSCBasictext"/>
      </w:pPr>
      <w:r w:rsidRPr="00E624A7">
        <w:t>A full method is provided in the student worksheet.</w:t>
      </w:r>
    </w:p>
    <w:p w14:paraId="3D0A3BF1" w14:textId="77777777" w:rsidR="00E624A7" w:rsidRPr="00E624A7" w:rsidRDefault="00E624A7" w:rsidP="00E624A7">
      <w:pPr>
        <w:pStyle w:val="RSCH2"/>
      </w:pPr>
      <w:r w:rsidRPr="00E624A7">
        <w:t>Teaching notes</w:t>
      </w:r>
    </w:p>
    <w:p w14:paraId="4CAA589A" w14:textId="737A94D9" w:rsidR="00E624A7" w:rsidRPr="00E624A7" w:rsidRDefault="00E624A7" w:rsidP="00E624A7">
      <w:pPr>
        <w:pStyle w:val="RSCBasictext"/>
      </w:pPr>
      <w:r w:rsidRPr="00E624A7">
        <w:t xml:space="preserve">This microscale technique minimises apparatus and chemical requirements and takes less time to perform than titration on the usual scale. Although the solutions used do present minor hazards, the use of such small quantities reduces risks from those hazards to very low levels. </w:t>
      </w:r>
      <w:r w:rsidR="00A27FF2">
        <w:t xml:space="preserve">Nevertheless, make sure that </w:t>
      </w:r>
      <w:r w:rsidR="00780400">
        <w:t>learners</w:t>
      </w:r>
      <w:r w:rsidRPr="00E624A7">
        <w:t xml:space="preserve"> take all </w:t>
      </w:r>
      <w:r w:rsidR="00A27FF2">
        <w:t xml:space="preserve">the </w:t>
      </w:r>
      <w:r w:rsidRPr="00E624A7">
        <w:t>usual precautions in handling these solutions. The main risk is from misuse of the syringe or pipettes, especially if containing hazardous solutions.</w:t>
      </w:r>
    </w:p>
    <w:p w14:paraId="3E15F3CC" w14:textId="77777777" w:rsidR="00E624A7" w:rsidRDefault="00E624A7" w:rsidP="00E624A7">
      <w:pPr>
        <w:pStyle w:val="RSCBasictext"/>
      </w:pPr>
      <w:r w:rsidRPr="00E624A7">
        <w:t>The technique also makes the point that quantitative chemical experimentation does not always have to be performed on the traditional ‘bucket’ scale at school level.</w:t>
      </w:r>
    </w:p>
    <w:p w14:paraId="51FA68CA" w14:textId="3B93FAC3" w:rsidR="009704FF" w:rsidRPr="00E624A7" w:rsidRDefault="00EA7AA1" w:rsidP="00E624A7">
      <w:pPr>
        <w:pStyle w:val="RSCBasictext"/>
      </w:pPr>
      <w:r>
        <w:t xml:space="preserve">An example of the results can be found in the student </w:t>
      </w:r>
      <w:r w:rsidR="00A91E63">
        <w:t>PowerPoint</w:t>
      </w:r>
      <w:r w:rsidR="00E20784">
        <w:t>.</w:t>
      </w:r>
    </w:p>
    <w:p w14:paraId="30331AB1" w14:textId="77777777" w:rsidR="00FB4148" w:rsidRDefault="00FB4148" w:rsidP="00FB4148">
      <w:pPr>
        <w:pStyle w:val="RSCH2"/>
      </w:pPr>
      <w:r>
        <w:t>Answers</w:t>
      </w:r>
    </w:p>
    <w:p w14:paraId="3393D06B" w14:textId="13A5B004" w:rsidR="00FB4148" w:rsidRDefault="00714E29" w:rsidP="00FB4148">
      <w:pPr>
        <w:pStyle w:val="RSCH3"/>
        <w:rPr>
          <w:lang w:eastAsia="en-GB"/>
        </w:rPr>
      </w:pPr>
      <w:r>
        <w:rPr>
          <w:lang w:eastAsia="en-GB"/>
        </w:rPr>
        <w:t xml:space="preserve">Scaffolded </w:t>
      </w:r>
      <w:r w:rsidR="00FB4148">
        <w:rPr>
          <w:lang w:eastAsia="en-GB"/>
        </w:rPr>
        <w:t>sheet</w:t>
      </w:r>
    </w:p>
    <w:p w14:paraId="48AF63B9" w14:textId="7E103697" w:rsidR="00FB4148" w:rsidRPr="00E017EF" w:rsidRDefault="00FB4148" w:rsidP="00FB4148">
      <w:pPr>
        <w:pStyle w:val="RSCnumberedlist"/>
      </w:pPr>
      <w:r w:rsidRPr="00E017EF">
        <w:t>The equation shows that the ratio of hydrochloric acid to sodium hydroxide is 1:1</w:t>
      </w:r>
      <w:r w:rsidR="00401C00">
        <w:t>.</w:t>
      </w:r>
    </w:p>
    <w:p w14:paraId="0B919BA8" w14:textId="52F74EAB" w:rsidR="00FB4148" w:rsidRDefault="00780400" w:rsidP="00FB4148">
      <w:pPr>
        <w:pStyle w:val="RSCnumberedlist"/>
      </w:pPr>
      <w:r>
        <w:rPr>
          <w:lang w:eastAsia="en-GB"/>
        </w:rPr>
        <w:t>Learners</w:t>
      </w:r>
      <w:r w:rsidR="00FB4148">
        <w:rPr>
          <w:lang w:eastAsia="en-GB"/>
        </w:rPr>
        <w:t xml:space="preserve"> should select concordant results only.</w:t>
      </w:r>
      <w:r w:rsidR="00FB4148">
        <w:rPr>
          <w:lang w:eastAsia="en-GB"/>
        </w:rPr>
        <w:br/>
        <w:t xml:space="preserve">Using model results: </w:t>
      </w:r>
    </w:p>
    <w:p w14:paraId="6C0D41A3" w14:textId="23C5AB06" w:rsidR="00FB4148" w:rsidRPr="00B06098" w:rsidRDefault="006D54F7" w:rsidP="00FB4148">
      <w:pPr>
        <w:pStyle w:val="RSCnumberedlist"/>
        <w:numPr>
          <w:ilvl w:val="1"/>
          <w:numId w:val="10"/>
        </w:numPr>
        <w:rPr>
          <w:lang w:val="fr-FR"/>
        </w:rPr>
      </w:pPr>
      <m:oMath>
        <m:r>
          <w:rPr>
            <w:rFonts w:ascii="Cambria Math" w:hAnsi="Cambria Math"/>
            <w:lang w:val="fr-FR"/>
          </w:rPr>
          <m:t>Average titre=</m:t>
        </m:r>
        <m:f>
          <m:fPr>
            <m:ctrlPr>
              <w:rPr>
                <w:rFonts w:ascii="Cambria Math" w:hAnsi="Cambria Math"/>
                <w:i/>
                <w:lang w:val="fr-FR"/>
              </w:rPr>
            </m:ctrlPr>
          </m:fPr>
          <m:num>
            <m:r>
              <w:rPr>
                <w:rFonts w:ascii="Cambria Math" w:hAnsi="Cambria Math"/>
                <w:lang w:val="fr-FR"/>
              </w:rPr>
              <m:t>1.01+1.01+1.02</m:t>
            </m:r>
          </m:num>
          <m:den>
            <m:r>
              <w:rPr>
                <w:rFonts w:ascii="Cambria Math" w:hAnsi="Cambria Math"/>
                <w:lang w:val="fr-FR"/>
              </w:rPr>
              <m:t>3</m:t>
            </m:r>
          </m:den>
        </m:f>
        <m:r>
          <w:rPr>
            <w:rFonts w:ascii="Cambria Math" w:hAnsi="Cambria Math"/>
            <w:lang w:val="fr-FR"/>
          </w:rPr>
          <m:t xml:space="preserve">=1.01 </m:t>
        </m:r>
        <m:sSup>
          <m:sSupPr>
            <m:ctrlPr>
              <w:rPr>
                <w:rFonts w:ascii="Cambria Math" w:hAnsi="Cambria Math"/>
                <w:i/>
                <w:lang w:val="fr-FR"/>
              </w:rPr>
            </m:ctrlPr>
          </m:sSupPr>
          <m:e>
            <m:r>
              <w:rPr>
                <w:rFonts w:ascii="Cambria Math" w:hAnsi="Cambria Math"/>
                <w:lang w:val="fr-FR"/>
              </w:rPr>
              <m:t>cm</m:t>
            </m:r>
          </m:e>
          <m:sup>
            <m:r>
              <w:rPr>
                <w:rFonts w:ascii="Cambria Math" w:hAnsi="Cambria Math"/>
                <w:lang w:val="fr-FR"/>
              </w:rPr>
              <m:t>3</m:t>
            </m:r>
          </m:sup>
        </m:sSup>
        <m:r>
          <w:rPr>
            <w:rFonts w:ascii="Cambria Math" w:hAnsi="Cambria Math"/>
            <w:lang w:val="fr-FR"/>
          </w:rPr>
          <m:t>=1.01×</m:t>
        </m:r>
        <m:sSup>
          <m:sSupPr>
            <m:ctrlPr>
              <w:rPr>
                <w:rFonts w:ascii="Cambria Math" w:hAnsi="Cambria Math"/>
                <w:i/>
                <w:lang w:val="fr-FR"/>
              </w:rPr>
            </m:ctrlPr>
          </m:sSupPr>
          <m:e>
            <m:r>
              <w:rPr>
                <w:rFonts w:ascii="Cambria Math" w:hAnsi="Cambria Math"/>
                <w:lang w:val="fr-FR"/>
              </w:rPr>
              <m:t>10</m:t>
            </m:r>
          </m:e>
          <m:sup>
            <m:r>
              <w:rPr>
                <w:rFonts w:ascii="Cambria Math" w:hAnsi="Cambria Math"/>
                <w:lang w:val="fr-FR"/>
              </w:rPr>
              <m:t>-3</m:t>
            </m:r>
          </m:sup>
        </m:sSup>
        <m:r>
          <w:rPr>
            <w:rFonts w:ascii="Cambria Math" w:hAnsi="Cambria Math"/>
            <w:lang w:val="fr-FR"/>
          </w:rPr>
          <m:t xml:space="preserve"> </m:t>
        </m:r>
        <m:sSup>
          <m:sSupPr>
            <m:ctrlPr>
              <w:rPr>
                <w:rFonts w:ascii="Cambria Math" w:hAnsi="Cambria Math"/>
                <w:i/>
                <w:lang w:val="fr-FR"/>
              </w:rPr>
            </m:ctrlPr>
          </m:sSupPr>
          <m:e>
            <m:r>
              <w:rPr>
                <w:rFonts w:ascii="Cambria Math" w:hAnsi="Cambria Math"/>
                <w:lang w:val="fr-FR"/>
              </w:rPr>
              <m:t>dm</m:t>
            </m:r>
          </m:e>
          <m:sup>
            <m:r>
              <w:rPr>
                <w:rFonts w:ascii="Cambria Math" w:hAnsi="Cambria Math"/>
                <w:lang w:val="fr-FR"/>
              </w:rPr>
              <m:t>3</m:t>
            </m:r>
          </m:sup>
        </m:sSup>
      </m:oMath>
    </w:p>
    <w:p w14:paraId="539C009A" w14:textId="77777777" w:rsidR="00FB4148" w:rsidRDefault="00FB4148" w:rsidP="00FB4148">
      <w:pPr>
        <w:pStyle w:val="RSCnumberedlist"/>
        <w:numPr>
          <w:ilvl w:val="1"/>
          <w:numId w:val="10"/>
        </w:numPr>
      </w:pPr>
      <w:r>
        <w:lastRenderedPageBreak/>
        <w:t>Moles of hydrochloric acid = 1.01 x 10</w:t>
      </w:r>
      <w:r>
        <w:rPr>
          <w:vertAlign w:val="superscript"/>
        </w:rPr>
        <w:t>-3</w:t>
      </w:r>
      <w:r>
        <w:t xml:space="preserve"> x 0.1 = 1.01 x 10</w:t>
      </w:r>
      <w:r>
        <w:rPr>
          <w:vertAlign w:val="superscript"/>
        </w:rPr>
        <w:t>-4</w:t>
      </w:r>
      <w:r>
        <w:t xml:space="preserve"> mol</w:t>
      </w:r>
    </w:p>
    <w:p w14:paraId="22CFED7D" w14:textId="77777777" w:rsidR="00FB4148" w:rsidRPr="004B35FC" w:rsidRDefault="00FB4148" w:rsidP="00FB4148">
      <w:pPr>
        <w:pStyle w:val="RSCnumberedlist"/>
        <w:numPr>
          <w:ilvl w:val="0"/>
          <w:numId w:val="0"/>
        </w:numPr>
        <w:ind w:left="1080"/>
      </w:pPr>
    </w:p>
    <w:p w14:paraId="1DD68A36" w14:textId="2776C638" w:rsidR="00FB4148" w:rsidRDefault="002B34A3" w:rsidP="00FB4148">
      <w:pPr>
        <w:pStyle w:val="RSCnumberedlist"/>
        <w:rPr>
          <w:lang w:eastAsia="en-GB"/>
        </w:rPr>
      </w:pPr>
      <w:r>
        <w:rPr>
          <w:lang w:eastAsia="en-GB"/>
        </w:rPr>
        <w:t xml:space="preserve">a) </w:t>
      </w:r>
      <w:r w:rsidR="00FB4148">
        <w:rPr>
          <w:lang w:eastAsia="en-GB"/>
        </w:rPr>
        <w:t>As it is a 1:1</w:t>
      </w:r>
      <w:r w:rsidR="00401C00">
        <w:rPr>
          <w:lang w:eastAsia="en-GB"/>
        </w:rPr>
        <w:t xml:space="preserve"> ratio</w:t>
      </w:r>
      <w:r w:rsidR="00FB4148">
        <w:rPr>
          <w:lang w:eastAsia="en-GB"/>
        </w:rPr>
        <w:t xml:space="preserve">, the moles of sodium hydroxide </w:t>
      </w:r>
      <w:proofErr w:type="gramStart"/>
      <w:r w:rsidR="00FB4148">
        <w:rPr>
          <w:lang w:eastAsia="en-GB"/>
        </w:rPr>
        <w:t>is</w:t>
      </w:r>
      <w:proofErr w:type="gramEnd"/>
      <w:r w:rsidR="00FB4148">
        <w:rPr>
          <w:lang w:eastAsia="en-GB"/>
        </w:rPr>
        <w:t xml:space="preserve"> also 1.01 x 10</w:t>
      </w:r>
      <w:r w:rsidR="00FB4148">
        <w:rPr>
          <w:vertAlign w:val="superscript"/>
          <w:lang w:eastAsia="en-GB"/>
        </w:rPr>
        <w:t>-4</w:t>
      </w:r>
      <w:r w:rsidR="00FB4148">
        <w:rPr>
          <w:lang w:eastAsia="en-GB"/>
        </w:rPr>
        <w:t xml:space="preserve"> mol</w:t>
      </w:r>
      <w:r w:rsidR="00401C00">
        <w:rPr>
          <w:lang w:eastAsia="en-GB"/>
        </w:rPr>
        <w:t>.</w:t>
      </w:r>
    </w:p>
    <w:p w14:paraId="4A80FD21" w14:textId="099303BC" w:rsidR="00FB4148" w:rsidRDefault="00A57896" w:rsidP="00A57896">
      <w:pPr>
        <w:pStyle w:val="RSCnumberedlist"/>
        <w:numPr>
          <w:ilvl w:val="0"/>
          <w:numId w:val="0"/>
        </w:numPr>
        <w:rPr>
          <w:lang w:eastAsia="en-GB"/>
        </w:rPr>
      </w:pPr>
      <w:r>
        <w:rPr>
          <w:lang w:eastAsia="en-GB"/>
        </w:rPr>
        <w:t xml:space="preserve">      b) </w:t>
      </w:r>
      <w:r w:rsidR="00FB4148">
        <w:rPr>
          <w:lang w:eastAsia="en-GB"/>
        </w:rPr>
        <w:t>Volume of sodium hydroxide = 1.0 cm</w:t>
      </w:r>
      <w:r w:rsidR="00FB4148">
        <w:rPr>
          <w:vertAlign w:val="superscript"/>
          <w:lang w:eastAsia="en-GB"/>
        </w:rPr>
        <w:t>3</w:t>
      </w:r>
      <w:r w:rsidR="00FB4148">
        <w:rPr>
          <w:lang w:eastAsia="en-GB"/>
        </w:rPr>
        <w:t xml:space="preserve"> = 1.0 x 10</w:t>
      </w:r>
      <w:r w:rsidR="00FB4148">
        <w:rPr>
          <w:vertAlign w:val="superscript"/>
          <w:lang w:eastAsia="en-GB"/>
        </w:rPr>
        <w:t>-3</w:t>
      </w:r>
      <w:r w:rsidR="00FB4148">
        <w:rPr>
          <w:lang w:eastAsia="en-GB"/>
        </w:rPr>
        <w:t xml:space="preserve"> dm</w:t>
      </w:r>
      <w:r w:rsidR="00FB4148">
        <w:rPr>
          <w:vertAlign w:val="superscript"/>
          <w:lang w:eastAsia="en-GB"/>
        </w:rPr>
        <w:t>3</w:t>
      </w:r>
    </w:p>
    <w:p w14:paraId="517BA7B7" w14:textId="1D4F2C75" w:rsidR="00FB4148" w:rsidRPr="001A454F" w:rsidRDefault="002F7089" w:rsidP="00A57896">
      <w:pPr>
        <w:pStyle w:val="RSCnumberedlist"/>
        <w:numPr>
          <w:ilvl w:val="0"/>
          <w:numId w:val="0"/>
        </w:numPr>
        <w:rPr>
          <w:lang w:eastAsia="en-GB"/>
        </w:rPr>
      </w:pPr>
      <m:oMathPara>
        <m:oMathParaPr>
          <m:jc m:val="center"/>
        </m:oMathParaPr>
        <m:oMath>
          <m:r>
            <w:rPr>
              <w:rFonts w:ascii="Cambria Math" w:hAnsi="Cambria Math"/>
              <w:lang w:eastAsia="en-GB"/>
            </w:rPr>
            <m:t>Concentration of sodium hydroxide=</m:t>
          </m:r>
          <m:f>
            <m:fPr>
              <m:ctrlPr>
                <w:rPr>
                  <w:rFonts w:ascii="Cambria Math" w:hAnsi="Cambria Math"/>
                  <w:i/>
                  <w:lang w:eastAsia="en-GB"/>
                </w:rPr>
              </m:ctrlPr>
            </m:fPr>
            <m:num>
              <m:r>
                <w:rPr>
                  <w:rFonts w:ascii="Cambria Math" w:hAnsi="Cambria Math"/>
                  <w:lang w:eastAsia="en-GB"/>
                </w:rPr>
                <m:t>1.01×</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-4</m:t>
                  </m:r>
                </m:sup>
              </m:sSup>
            </m:num>
            <m:den>
              <m:r>
                <w:rPr>
                  <w:rFonts w:ascii="Cambria Math" w:hAnsi="Cambria Math"/>
                  <w:lang w:eastAsia="en-GB"/>
                </w:rPr>
                <m:t>1.0×</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-3</m:t>
                  </m:r>
                </m:sup>
              </m:sSup>
            </m:den>
          </m:f>
          <m:r>
            <w:rPr>
              <w:rFonts w:ascii="Cambria Math" w:hAnsi="Cambria Math"/>
              <w:lang w:eastAsia="en-GB"/>
            </w:rPr>
            <m:t xml:space="preserve">=0.101 mol </m:t>
          </m:r>
          <m:sSup>
            <m:sSupPr>
              <m:ctrlPr>
                <w:rPr>
                  <w:rFonts w:ascii="Cambria Math" w:hAnsi="Cambria Math"/>
                  <w:i/>
                  <w:lang w:eastAsia="en-GB"/>
                </w:rPr>
              </m:ctrlPr>
            </m:sSupPr>
            <m:e>
              <m:r>
                <w:rPr>
                  <w:rFonts w:ascii="Cambria Math" w:hAnsi="Cambria Math"/>
                  <w:lang w:eastAsia="en-GB"/>
                </w:rPr>
                <m:t>dm</m:t>
              </m:r>
            </m:e>
            <m:sup>
              <m:r>
                <w:rPr>
                  <w:rFonts w:ascii="Cambria Math" w:hAnsi="Cambria Math"/>
                  <w:lang w:eastAsia="en-GB"/>
                </w:rPr>
                <m:t>-3</m:t>
              </m:r>
            </m:sup>
          </m:sSup>
        </m:oMath>
      </m:oMathPara>
    </w:p>
    <w:p w14:paraId="0FDDF153" w14:textId="75F57902" w:rsidR="00FB4148" w:rsidRDefault="00FB4148" w:rsidP="00FB4148">
      <w:pPr>
        <w:pStyle w:val="RSCnumberedlist"/>
        <w:rPr>
          <w:lang w:val="it-IT" w:eastAsia="en-GB"/>
        </w:rPr>
      </w:pPr>
      <w:r w:rsidRPr="00D80D68">
        <w:rPr>
          <w:lang w:val="it-IT" w:eastAsia="en-GB"/>
        </w:rPr>
        <w:t>Producing a pure dry sa</w:t>
      </w:r>
      <w:r>
        <w:rPr>
          <w:lang w:val="it-IT" w:eastAsia="en-GB"/>
        </w:rPr>
        <w:t>lt via titration</w:t>
      </w:r>
      <w:r w:rsidR="00176DD3">
        <w:rPr>
          <w:lang w:val="it-IT" w:eastAsia="en-GB"/>
        </w:rPr>
        <w:t>:</w:t>
      </w:r>
    </w:p>
    <w:p w14:paraId="507FA876" w14:textId="4370D3B2" w:rsidR="00FB4148" w:rsidRDefault="00FB4148" w:rsidP="00FB4148">
      <w:pPr>
        <w:pStyle w:val="RSCnumberedlist"/>
        <w:numPr>
          <w:ilvl w:val="1"/>
          <w:numId w:val="10"/>
        </w:numPr>
        <w:rPr>
          <w:lang w:eastAsia="en-GB"/>
        </w:rPr>
      </w:pPr>
      <w:r w:rsidRPr="00D80D68">
        <w:rPr>
          <w:lang w:eastAsia="en-GB"/>
        </w:rPr>
        <w:t>The student must repeat t</w:t>
      </w:r>
      <w:r>
        <w:rPr>
          <w:lang w:eastAsia="en-GB"/>
        </w:rPr>
        <w:t xml:space="preserve">he experiment </w:t>
      </w:r>
      <w:r>
        <w:rPr>
          <w:b/>
          <w:bCs/>
          <w:lang w:eastAsia="en-GB"/>
        </w:rPr>
        <w:t>without</w:t>
      </w:r>
      <w:r>
        <w:rPr>
          <w:lang w:eastAsia="en-GB"/>
        </w:rPr>
        <w:t xml:space="preserve"> </w:t>
      </w:r>
      <w:r w:rsidRPr="00C331BC">
        <w:rPr>
          <w:b/>
          <w:bCs/>
          <w:lang w:eastAsia="en-GB"/>
        </w:rPr>
        <w:t>indicator</w:t>
      </w:r>
      <w:r>
        <w:rPr>
          <w:lang w:eastAsia="en-GB"/>
        </w:rPr>
        <w:t xml:space="preserve"> as this would contaminate the salt</w:t>
      </w:r>
      <w:r w:rsidR="00176DD3">
        <w:rPr>
          <w:lang w:eastAsia="en-GB"/>
        </w:rPr>
        <w:t>.</w:t>
      </w:r>
    </w:p>
    <w:p w14:paraId="4C6E9042" w14:textId="562D9182" w:rsidR="00FB4148" w:rsidRDefault="00FB4148" w:rsidP="00FB4148">
      <w:pPr>
        <w:pStyle w:val="RSCnumberedlist"/>
        <w:numPr>
          <w:ilvl w:val="1"/>
          <w:numId w:val="10"/>
        </w:numPr>
        <w:rPr>
          <w:lang w:eastAsia="en-GB"/>
        </w:rPr>
      </w:pPr>
      <w:r>
        <w:rPr>
          <w:lang w:eastAsia="en-GB"/>
        </w:rPr>
        <w:t xml:space="preserve">The student should use evaporation and crystallisation to remove the water from the solution, leaving the pure, dry salt. </w:t>
      </w:r>
      <w:r>
        <w:rPr>
          <w:lang w:eastAsia="en-GB"/>
        </w:rPr>
        <w:br/>
        <w:t>Allow any description of this method e.g. use of a water</w:t>
      </w:r>
      <w:r w:rsidR="007316ED">
        <w:rPr>
          <w:lang w:eastAsia="en-GB"/>
        </w:rPr>
        <w:t xml:space="preserve"> </w:t>
      </w:r>
      <w:r>
        <w:rPr>
          <w:lang w:eastAsia="en-GB"/>
        </w:rPr>
        <w:t>bath to heat the solution</w:t>
      </w:r>
      <w:r w:rsidR="007316ED">
        <w:rPr>
          <w:lang w:eastAsia="en-GB"/>
        </w:rPr>
        <w:t>.</w:t>
      </w:r>
    </w:p>
    <w:p w14:paraId="63DE50A4" w14:textId="79BCBDA4" w:rsidR="00FB4148" w:rsidRDefault="00FB4148" w:rsidP="00917B8E">
      <w:pPr>
        <w:pStyle w:val="RSCnumberedlist"/>
        <w:numPr>
          <w:ilvl w:val="1"/>
          <w:numId w:val="10"/>
        </w:numPr>
        <w:rPr>
          <w:lang w:eastAsia="en-GB"/>
        </w:rPr>
      </w:pPr>
      <w:r>
        <w:rPr>
          <w:lang w:eastAsia="en-GB"/>
        </w:rPr>
        <w:t>If the salt is pure, it should have a fixed melting point which matches the accepted value of the melting point in databases.</w:t>
      </w:r>
    </w:p>
    <w:p w14:paraId="62C895EB" w14:textId="192564AD" w:rsidR="00FB4148" w:rsidRDefault="00FB4148" w:rsidP="00FB4148">
      <w:pPr>
        <w:pStyle w:val="RSCH3"/>
        <w:rPr>
          <w:lang w:eastAsia="en-GB"/>
        </w:rPr>
      </w:pPr>
      <w:proofErr w:type="spellStart"/>
      <w:r>
        <w:rPr>
          <w:lang w:eastAsia="en-GB"/>
        </w:rPr>
        <w:t>Uns</w:t>
      </w:r>
      <w:r w:rsidR="005D5A71">
        <w:rPr>
          <w:lang w:eastAsia="en-GB"/>
        </w:rPr>
        <w:t>caffolded</w:t>
      </w:r>
      <w:proofErr w:type="spellEnd"/>
      <w:r>
        <w:rPr>
          <w:lang w:eastAsia="en-GB"/>
        </w:rPr>
        <w:t xml:space="preserve"> sheet</w:t>
      </w:r>
    </w:p>
    <w:p w14:paraId="442C3941" w14:textId="77777777" w:rsidR="00FB4148" w:rsidRPr="00243762" w:rsidRDefault="00FB4148" w:rsidP="00FB4148">
      <w:pPr>
        <w:pStyle w:val="RSCnumberedlist"/>
        <w:numPr>
          <w:ilvl w:val="0"/>
          <w:numId w:val="22"/>
        </w:numPr>
        <w:rPr>
          <w:rFonts w:ascii="Cambria Math" w:hAnsi="Cambria Math"/>
          <w:lang w:val="pt-PT"/>
        </w:rPr>
      </w:pPr>
      <w:r w:rsidRPr="00243762">
        <w:rPr>
          <w:rFonts w:ascii="Cambria Math" w:hAnsi="Cambria Math"/>
          <w:lang w:val="pt-PT"/>
        </w:rPr>
        <w:t>HCl</w:t>
      </w:r>
      <w:r w:rsidRPr="00243762">
        <w:rPr>
          <w:rFonts w:ascii="Cambria Math" w:hAnsi="Cambria Math"/>
          <w:vertAlign w:val="subscript"/>
          <w:lang w:val="pt-PT"/>
        </w:rPr>
        <w:t xml:space="preserve">(aq) </w:t>
      </w:r>
      <w:r w:rsidRPr="00243762">
        <w:rPr>
          <w:rFonts w:ascii="Cambria Math" w:hAnsi="Cambria Math"/>
          <w:lang w:val="pt-PT"/>
        </w:rPr>
        <w:t>+ NaOH</w:t>
      </w:r>
      <w:r w:rsidRPr="00243762">
        <w:rPr>
          <w:rFonts w:ascii="Cambria Math" w:hAnsi="Cambria Math"/>
          <w:vertAlign w:val="subscript"/>
          <w:lang w:val="pt-PT"/>
        </w:rPr>
        <w:t>(aq)</w:t>
      </w:r>
      <w:r w:rsidRPr="00243762">
        <w:rPr>
          <w:rFonts w:ascii="Cambria Math" w:hAnsi="Cambria Math"/>
          <w:lang w:val="pt-PT"/>
        </w:rPr>
        <w:t xml:space="preserve"> → NaCl</w:t>
      </w:r>
      <w:r w:rsidRPr="00243762">
        <w:rPr>
          <w:rFonts w:ascii="Cambria Math" w:hAnsi="Cambria Math"/>
          <w:vertAlign w:val="subscript"/>
          <w:lang w:val="pt-PT"/>
        </w:rPr>
        <w:t>(aq)</w:t>
      </w:r>
      <w:r w:rsidRPr="00243762">
        <w:rPr>
          <w:rFonts w:ascii="Cambria Math" w:hAnsi="Cambria Math"/>
          <w:lang w:val="pt-PT"/>
        </w:rPr>
        <w:t xml:space="preserve"> + H</w:t>
      </w:r>
      <w:r w:rsidRPr="00243762">
        <w:rPr>
          <w:rFonts w:ascii="Cambria Math" w:hAnsi="Cambria Math"/>
          <w:vertAlign w:val="subscript"/>
          <w:lang w:val="pt-PT"/>
        </w:rPr>
        <w:t>2</w:t>
      </w:r>
      <w:r w:rsidRPr="00243762">
        <w:rPr>
          <w:rFonts w:ascii="Cambria Math" w:hAnsi="Cambria Math"/>
          <w:lang w:val="pt-PT"/>
        </w:rPr>
        <w:t>O</w:t>
      </w:r>
      <w:r w:rsidRPr="00243762">
        <w:rPr>
          <w:rFonts w:ascii="Cambria Math" w:hAnsi="Cambria Math"/>
          <w:vertAlign w:val="subscript"/>
          <w:lang w:val="pt-PT"/>
        </w:rPr>
        <w:t>(l)</w:t>
      </w:r>
      <w:r w:rsidRPr="00243762">
        <w:rPr>
          <w:rFonts w:ascii="Cambria Math" w:hAnsi="Cambria Math"/>
          <w:vertAlign w:val="subscript"/>
          <w:lang w:val="pt-PT"/>
        </w:rPr>
        <w:br/>
      </w:r>
      <w:r w:rsidRPr="00243762">
        <w:rPr>
          <w:rFonts w:ascii="Cambria Math" w:hAnsi="Cambria Math"/>
          <w:lang w:val="pt-PT"/>
        </w:rPr>
        <w:t>H</w:t>
      </w:r>
      <w:r w:rsidRPr="00243762">
        <w:rPr>
          <w:rFonts w:ascii="Cambria Math" w:hAnsi="Cambria Math"/>
          <w:vertAlign w:val="superscript"/>
          <w:lang w:val="pt-PT"/>
        </w:rPr>
        <w:t>+</w:t>
      </w:r>
      <w:r w:rsidRPr="00243762">
        <w:rPr>
          <w:rFonts w:ascii="Cambria Math" w:hAnsi="Cambria Math"/>
          <w:lang w:val="pt-PT"/>
        </w:rPr>
        <w:t xml:space="preserve"> </w:t>
      </w:r>
      <w:r w:rsidRPr="00243762">
        <w:rPr>
          <w:rFonts w:ascii="Cambria Math" w:hAnsi="Cambria Math"/>
          <w:vertAlign w:val="subscript"/>
          <w:lang w:val="pt-PT"/>
        </w:rPr>
        <w:t>(aq)</w:t>
      </w:r>
      <w:r w:rsidRPr="00243762">
        <w:rPr>
          <w:rFonts w:ascii="Cambria Math" w:hAnsi="Cambria Math"/>
          <w:lang w:val="pt-PT"/>
        </w:rPr>
        <w:t xml:space="preserve"> + OH</w:t>
      </w:r>
      <w:r w:rsidRPr="00243762">
        <w:rPr>
          <w:rFonts w:ascii="Cambria Math" w:hAnsi="Cambria Math"/>
          <w:vertAlign w:val="superscript"/>
          <w:lang w:val="pt-PT"/>
        </w:rPr>
        <w:t>-</w:t>
      </w:r>
      <w:r w:rsidRPr="00243762">
        <w:rPr>
          <w:rFonts w:ascii="Cambria Math" w:hAnsi="Cambria Math"/>
          <w:vertAlign w:val="subscript"/>
          <w:lang w:val="pt-PT"/>
        </w:rPr>
        <w:t xml:space="preserve">(aq) </w:t>
      </w:r>
      <w:r w:rsidRPr="00243762">
        <w:rPr>
          <w:rFonts w:ascii="Cambria Math" w:hAnsi="Cambria Math"/>
          <w:lang w:val="pt-PT"/>
        </w:rPr>
        <w:t>→ H</w:t>
      </w:r>
      <w:r w:rsidRPr="00243762">
        <w:rPr>
          <w:rFonts w:ascii="Cambria Math" w:hAnsi="Cambria Math"/>
          <w:vertAlign w:val="subscript"/>
          <w:lang w:val="pt-PT"/>
        </w:rPr>
        <w:t>2</w:t>
      </w:r>
      <w:r w:rsidRPr="00243762">
        <w:rPr>
          <w:rFonts w:ascii="Cambria Math" w:hAnsi="Cambria Math"/>
          <w:lang w:val="pt-PT"/>
        </w:rPr>
        <w:t xml:space="preserve">O </w:t>
      </w:r>
      <w:r w:rsidRPr="00243762">
        <w:rPr>
          <w:rFonts w:ascii="Cambria Math" w:hAnsi="Cambria Math"/>
          <w:vertAlign w:val="subscript"/>
          <w:lang w:val="pt-PT"/>
        </w:rPr>
        <w:t>(l)</w:t>
      </w:r>
    </w:p>
    <w:p w14:paraId="6F9D4721" w14:textId="6508027B" w:rsidR="00FB4148" w:rsidRDefault="00A0191C" w:rsidP="00FB4148">
      <w:pPr>
        <w:pStyle w:val="RSCnumberedlist"/>
      </w:pPr>
      <m:oMath>
        <m:r>
          <w:rPr>
            <w:rFonts w:ascii="Cambria Math" w:hAnsi="Cambria Math"/>
          </w:rPr>
          <m:t>Moles of hydrochloric acid=</m:t>
        </m:r>
        <m:f>
          <m:fPr>
            <m:ctrlPr>
              <w:rPr>
                <w:rFonts w:ascii="Cambria Math" w:hAnsi="Cambria Math"/>
                <w:i/>
              </w:rPr>
            </m:ctrlPr>
          </m:fPr>
          <m:num>
            <m:r>
              <w:rPr>
                <w:rFonts w:ascii="Cambria Math" w:hAnsi="Cambria Math"/>
              </w:rPr>
              <m:t xml:space="preserve">volume in </m:t>
            </m:r>
            <m:sSup>
              <m:sSupPr>
                <m:ctrlPr>
                  <w:rPr>
                    <w:rFonts w:ascii="Cambria Math" w:hAnsi="Cambria Math"/>
                    <w:i/>
                  </w:rPr>
                </m:ctrlPr>
              </m:sSupPr>
              <m:e>
                <m:r>
                  <w:rPr>
                    <w:rFonts w:ascii="Cambria Math" w:hAnsi="Cambria Math"/>
                  </w:rPr>
                  <m:t>cm</m:t>
                </m:r>
              </m:e>
              <m:sup>
                <m:r>
                  <w:rPr>
                    <w:rFonts w:ascii="Cambria Math" w:hAnsi="Cambria Math"/>
                  </w:rPr>
                  <m:t>3</m:t>
                </m:r>
              </m:sup>
            </m:sSup>
          </m:num>
          <m:den>
            <m:r>
              <w:rPr>
                <w:rFonts w:ascii="Cambria Math" w:hAnsi="Cambria Math"/>
              </w:rPr>
              <m:t>1000</m:t>
            </m:r>
          </m:den>
        </m:f>
        <m:r>
          <w:rPr>
            <w:rFonts w:ascii="Cambria Math" w:hAnsi="Cambria Math"/>
          </w:rPr>
          <m:t>×0.1=1.01×</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×0.1=1.01×</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mol</m:t>
        </m:r>
      </m:oMath>
    </w:p>
    <w:p w14:paraId="7FBEB8FE" w14:textId="4086875A" w:rsidR="00FB4148" w:rsidRPr="00D80D68" w:rsidRDefault="00FB4148" w:rsidP="00FB4148">
      <w:pPr>
        <w:pStyle w:val="RSCnumberedlist"/>
        <w:rPr>
          <w:lang w:eastAsia="en-GB"/>
        </w:rPr>
      </w:pPr>
      <w:r>
        <w:t>Moles of sodium hydroxide = 1.01 x 10</w:t>
      </w:r>
      <w:r w:rsidRPr="00454CA2">
        <w:rPr>
          <w:vertAlign w:val="superscript"/>
        </w:rPr>
        <w:t>-4</w:t>
      </w:r>
      <w:r>
        <w:t xml:space="preserve"> mol</w:t>
      </w:r>
      <w:r>
        <w:br/>
      </w:r>
      <m:oMathPara>
        <m:oMath>
          <m:r>
            <w:rPr>
              <w:rFonts w:ascii="Cambria Math" w:hAnsi="Cambria Math"/>
              <w:lang w:eastAsia="en-GB"/>
            </w:rPr>
            <m:t>Concentration of sodium hydroxide=</m:t>
          </m:r>
          <m:f>
            <m:fPr>
              <m:ctrlPr>
                <w:rPr>
                  <w:rFonts w:ascii="Cambria Math" w:hAnsi="Cambria Math"/>
                  <w:i/>
                  <w:lang w:eastAsia="en-GB"/>
                </w:rPr>
              </m:ctrlPr>
            </m:fPr>
            <m:num>
              <m:r>
                <w:rPr>
                  <w:rFonts w:ascii="Cambria Math" w:hAnsi="Cambria Math"/>
                  <w:lang w:eastAsia="en-GB"/>
                </w:rPr>
                <m:t>1.01×</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-4</m:t>
                  </m:r>
                </m:sup>
              </m:sSup>
            </m:num>
            <m:den>
              <m:r>
                <w:rPr>
                  <w:rFonts w:ascii="Cambria Math" w:hAnsi="Cambria Math"/>
                  <w:lang w:eastAsia="en-GB"/>
                </w:rPr>
                <m:t xml:space="preserve">volume in </m:t>
              </m:r>
              <m:sSup>
                <m:sSupPr>
                  <m:ctrlPr>
                    <w:rPr>
                      <w:rFonts w:ascii="Cambria Math" w:hAnsi="Cambria Math"/>
                      <w:i/>
                      <w:lang w:eastAsia="en-GB"/>
                    </w:rPr>
                  </m:ctrlPr>
                </m:sSupPr>
                <m:e>
                  <m:r>
                    <w:rPr>
                      <w:rFonts w:ascii="Cambria Math" w:hAnsi="Cambria Math"/>
                      <w:lang w:eastAsia="en-GB"/>
                    </w:rPr>
                    <m:t>dm</m:t>
                  </m:r>
                </m:e>
                <m:sup>
                  <m:r>
                    <w:rPr>
                      <w:rFonts w:ascii="Cambria Math" w:hAnsi="Cambria Math"/>
                      <w:lang w:eastAsia="en-GB"/>
                    </w:rPr>
                    <m:t>3</m:t>
                  </m:r>
                </m:sup>
              </m:sSup>
            </m:den>
          </m:f>
          <m:r>
            <w:rPr>
              <w:rFonts w:ascii="Cambria Math" w:hAnsi="Cambria Math"/>
              <w:lang w:eastAsia="en-GB"/>
            </w:rPr>
            <m:t>=</m:t>
          </m:r>
          <m:f>
            <m:fPr>
              <m:ctrlPr>
                <w:rPr>
                  <w:rFonts w:ascii="Cambria Math" w:hAnsi="Cambria Math"/>
                  <w:i/>
                  <w:lang w:eastAsia="en-GB"/>
                </w:rPr>
              </m:ctrlPr>
            </m:fPr>
            <m:num>
              <m:r>
                <w:rPr>
                  <w:rFonts w:ascii="Cambria Math" w:hAnsi="Cambria Math"/>
                  <w:lang w:eastAsia="en-GB"/>
                </w:rPr>
                <m:t>1.01×</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-4</m:t>
                  </m:r>
                </m:sup>
              </m:sSup>
            </m:num>
            <m:den>
              <m:r>
                <w:rPr>
                  <w:rFonts w:ascii="Cambria Math" w:hAnsi="Cambria Math"/>
                  <w:lang w:eastAsia="en-GB"/>
                </w:rPr>
                <m:t>1.0×</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-3</m:t>
                  </m:r>
                </m:sup>
              </m:sSup>
            </m:den>
          </m:f>
          <m:r>
            <w:rPr>
              <w:rFonts w:ascii="Cambria Math" w:hAnsi="Cambria Math"/>
              <w:lang w:eastAsia="en-GB"/>
            </w:rPr>
            <m:t xml:space="preserve">=0.101 mol </m:t>
          </m:r>
          <m:sSup>
            <m:sSupPr>
              <m:ctrlPr>
                <w:rPr>
                  <w:rFonts w:ascii="Cambria Math" w:hAnsi="Cambria Math"/>
                  <w:i/>
                  <w:lang w:eastAsia="en-GB"/>
                </w:rPr>
              </m:ctrlPr>
            </m:sSupPr>
            <m:e>
              <m:r>
                <w:rPr>
                  <w:rFonts w:ascii="Cambria Math" w:hAnsi="Cambria Math"/>
                  <w:lang w:eastAsia="en-GB"/>
                </w:rPr>
                <m:t>dm</m:t>
              </m:r>
            </m:e>
            <m:sup>
              <m:r>
                <w:rPr>
                  <w:rFonts w:ascii="Cambria Math" w:hAnsi="Cambria Math"/>
                  <w:lang w:eastAsia="en-GB"/>
                </w:rPr>
                <m:t>-3</m:t>
              </m:r>
            </m:sup>
          </m:sSup>
        </m:oMath>
      </m:oMathPara>
    </w:p>
    <w:p w14:paraId="52CBD9CA" w14:textId="77777777" w:rsidR="00FB4148" w:rsidRDefault="00FB4148" w:rsidP="00FB4148">
      <w:pPr>
        <w:pStyle w:val="RSCnumberedlist"/>
      </w:pPr>
      <w:r>
        <w:t>Key steps for producing a pure dry salt:</w:t>
      </w:r>
    </w:p>
    <w:p w14:paraId="716EFB6A" w14:textId="2F4DEAEA" w:rsidR="00FB4148" w:rsidRDefault="00FB4148" w:rsidP="00FB4148">
      <w:pPr>
        <w:pStyle w:val="RSCBulletedlist"/>
        <w:ind w:left="709"/>
      </w:pPr>
      <w:r>
        <w:t xml:space="preserve">Student completes the titration using indicator to find the </w:t>
      </w:r>
      <w:r w:rsidR="0069318E">
        <w:t>endpoint</w:t>
      </w:r>
      <w:r>
        <w:t xml:space="preserve"> accurately</w:t>
      </w:r>
      <w:r w:rsidR="001B016C">
        <w:t>.</w:t>
      </w:r>
    </w:p>
    <w:p w14:paraId="49AFF3F7" w14:textId="77777777" w:rsidR="00FB4148" w:rsidRDefault="00FB4148" w:rsidP="00FB4148">
      <w:pPr>
        <w:pStyle w:val="RSCBulletedlist"/>
        <w:ind w:left="709"/>
      </w:pPr>
      <w:r>
        <w:t xml:space="preserve">Repeat the experiment </w:t>
      </w:r>
      <w:r>
        <w:rPr>
          <w:b/>
          <w:bCs/>
        </w:rPr>
        <w:t>without indicator</w:t>
      </w:r>
      <w:r>
        <w:t xml:space="preserve"> as this would contaminate the salt. </w:t>
      </w:r>
    </w:p>
    <w:p w14:paraId="7E2F1847" w14:textId="1141B732" w:rsidR="00FB4148" w:rsidRDefault="00FB4148" w:rsidP="00FB4148">
      <w:pPr>
        <w:pStyle w:val="RSCBulletedlist"/>
        <w:ind w:left="709"/>
      </w:pPr>
      <w:r>
        <w:t>Add the same volume of sodium hydroxide and hydrochloric acid as was used in the first titration</w:t>
      </w:r>
      <w:r w:rsidR="001B016C">
        <w:t>.</w:t>
      </w:r>
    </w:p>
    <w:p w14:paraId="01236105" w14:textId="08FEA0B6" w:rsidR="00FB4148" w:rsidRDefault="00FB4148" w:rsidP="00312640">
      <w:pPr>
        <w:pStyle w:val="RSCBulletedlist"/>
        <w:ind w:left="709"/>
      </w:pPr>
      <w:r>
        <w:t>Use evaporation and crystallisation to separate the salt from the solution</w:t>
      </w:r>
      <w:r w:rsidR="001B016C">
        <w:t>.</w:t>
      </w:r>
      <w:r w:rsidR="00312640">
        <w:t xml:space="preserve"> </w:t>
      </w:r>
      <w:r>
        <w:t>To do this, heat the salt in an evaporating basin over a water</w:t>
      </w:r>
      <w:r w:rsidR="001B016C">
        <w:t xml:space="preserve"> </w:t>
      </w:r>
      <w:r>
        <w:t>bath</w:t>
      </w:r>
      <w:r w:rsidR="00312640">
        <w:t xml:space="preserve"> u</w:t>
      </w:r>
      <w:r>
        <w:t>ntil most of the water has evaporated/the solution is saturated/you have reached the crystallisation point</w:t>
      </w:r>
      <w:r w:rsidR="001B016C">
        <w:t>.</w:t>
      </w:r>
    </w:p>
    <w:p w14:paraId="454DA308" w14:textId="1BACF2BE" w:rsidR="00FB4148" w:rsidRDefault="00FB4148" w:rsidP="00FB4148">
      <w:pPr>
        <w:pStyle w:val="RSCBulletedlist"/>
        <w:ind w:left="709"/>
      </w:pPr>
      <w:r>
        <w:t>Remove from the heat and allow to dry slowly</w:t>
      </w:r>
      <w:r w:rsidR="001B016C">
        <w:t>.</w:t>
      </w:r>
    </w:p>
    <w:p w14:paraId="4E7435CF" w14:textId="5F2FB66B" w:rsidR="00FB4148" w:rsidRDefault="00FB4148" w:rsidP="00FB4148">
      <w:pPr>
        <w:pStyle w:val="RSCBulletedlist"/>
        <w:ind w:left="709"/>
      </w:pPr>
      <w:r>
        <w:t>Pat the crystals dry</w:t>
      </w:r>
      <w:r w:rsidR="001B016C">
        <w:t>.</w:t>
      </w:r>
    </w:p>
    <w:p w14:paraId="7B95607C" w14:textId="583A13DA" w:rsidR="00FD51CC" w:rsidRPr="003D4B9F" w:rsidRDefault="00FB4148" w:rsidP="0022735E">
      <w:pPr>
        <w:pStyle w:val="RSCnumberedlist"/>
        <w:numPr>
          <w:ilvl w:val="0"/>
          <w:numId w:val="0"/>
        </w:numPr>
        <w:spacing w:after="0"/>
      </w:pPr>
      <w:r>
        <w:t>To test if the salt is pure, u</w:t>
      </w:r>
      <w:r w:rsidR="00936C4F">
        <w:t>se</w:t>
      </w:r>
      <w:r>
        <w:t xml:space="preserve"> </w:t>
      </w:r>
      <w:r>
        <w:rPr>
          <w:b/>
          <w:bCs/>
        </w:rPr>
        <w:t>melting point analysis</w:t>
      </w:r>
      <w:r>
        <w:t>. The salt should have a fixed</w:t>
      </w:r>
      <w:r w:rsidR="00936C4F">
        <w:t xml:space="preserve"> </w:t>
      </w:r>
      <w:r>
        <w:t>melting point if pure, and a melting point range if impure. The melting point can be compared to a database</w:t>
      </w:r>
      <w:r w:rsidR="0022735E">
        <w:t>.</w:t>
      </w:r>
    </w:p>
    <w:sectPr w:rsidR="00FD51CC" w:rsidRPr="003D4B9F" w:rsidSect="00231C1C">
      <w:headerReference w:type="default" r:id="rId18"/>
      <w:footerReference w:type="default" r:id="rId1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D6FF" w14:textId="77777777" w:rsidR="004263ED" w:rsidRDefault="004263ED" w:rsidP="008A1B0B">
      <w:pPr>
        <w:spacing w:after="0" w:line="240" w:lineRule="auto"/>
      </w:pPr>
      <w:r>
        <w:separator/>
      </w:r>
    </w:p>
  </w:endnote>
  <w:endnote w:type="continuationSeparator" w:id="0">
    <w:p w14:paraId="11EA6207" w14:textId="77777777" w:rsidR="004263ED" w:rsidRDefault="004263ED"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8A979CA"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16A5A">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FB0C" w14:textId="77777777" w:rsidR="004263ED" w:rsidRDefault="004263ED" w:rsidP="008A1B0B">
      <w:pPr>
        <w:spacing w:after="0" w:line="240" w:lineRule="auto"/>
      </w:pPr>
      <w:r>
        <w:separator/>
      </w:r>
    </w:p>
  </w:footnote>
  <w:footnote w:type="continuationSeparator" w:id="0">
    <w:p w14:paraId="1B11F120" w14:textId="77777777" w:rsidR="004263ED" w:rsidRDefault="004263ED"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14AB259C"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7BF8E2B9">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7216" behindDoc="1" locked="0" layoutInCell="1" allowOverlap="1" wp14:anchorId="6205F037" wp14:editId="161ECE51">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682E2D">
      <w:rPr>
        <w:rFonts w:ascii="Century Gothic" w:hAnsi="Century Gothic"/>
        <w:b/>
        <w:bCs/>
        <w:color w:val="C8102E"/>
        <w:sz w:val="30"/>
        <w:szCs w:val="30"/>
      </w:rPr>
      <w:t>Nuffield practical collection</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45DD9BAD" w14:textId="77777777" w:rsidR="002C09CE" w:rsidRDefault="00FF382F" w:rsidP="002C09CE">
    <w:pPr>
      <w:pStyle w:val="RSCURL"/>
      <w:jc w:val="right"/>
    </w:pPr>
    <w:r>
      <w:rPr>
        <w:color w:val="000000" w:themeColor="text1"/>
      </w:rPr>
      <w:t>Available</w:t>
    </w:r>
    <w:r w:rsidR="003F2EF3">
      <w:rPr>
        <w:color w:val="000000" w:themeColor="text1"/>
      </w:rPr>
      <w:t xml:space="preserve"> from</w:t>
    </w:r>
    <w:r w:rsidR="00EF3FDA" w:rsidRPr="005F0459">
      <w:rPr>
        <w:color w:val="000000" w:themeColor="text1"/>
      </w:rPr>
      <w:t xml:space="preserve"> </w:t>
    </w:r>
    <w:r w:rsidR="002C09CE" w:rsidRPr="00B76C05">
      <w:t>rsc.li/</w:t>
    </w:r>
    <w:r w:rsidR="002C09CE">
      <w:t>4jxSTfA</w:t>
    </w:r>
  </w:p>
  <w:p w14:paraId="0053964E" w14:textId="61AA1D67" w:rsidR="00EF3FDA" w:rsidRPr="005F0459" w:rsidRDefault="00EF3FDA" w:rsidP="00E47CCE">
    <w:pPr>
      <w:spacing w:after="86"/>
      <w:ind w:right="-850"/>
      <w:jc w:val="right"/>
      <w:rPr>
        <w:rFonts w:ascii="Century Gothic" w:hAnsi="Century Gothic"/>
        <w:b/>
        <w:bCs/>
        <w:color w:val="C8102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DF6D9B"/>
    <w:multiLevelType w:val="multilevel"/>
    <w:tmpl w:val="4058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5AD4049C"/>
    <w:lvl w:ilvl="0" w:tplc="7876A12C">
      <w:start w:val="1"/>
      <w:numFmt w:val="decimal"/>
      <w:pStyle w:val="RSCnumberedlist"/>
      <w:lvlText w:val="%1."/>
      <w:lvlJc w:val="left"/>
      <w:pPr>
        <w:ind w:left="360" w:hanging="360"/>
      </w:pPr>
      <w:rPr>
        <w:rFonts w:ascii="Century Gothic" w:hAnsi="Century Gothic" w:hint="default"/>
        <w:b/>
        <w:i w:val="0"/>
        <w:color w:val="C8102E"/>
        <w:sz w:val="22"/>
      </w:rPr>
    </w:lvl>
    <w:lvl w:ilvl="1" w:tplc="08090001">
      <w:start w:val="1"/>
      <w:numFmt w:val="bullet"/>
      <w:lvlText w:val=""/>
      <w:lvlJc w:val="left"/>
      <w:pPr>
        <w:ind w:left="1636"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A3866"/>
    <w:multiLevelType w:val="multilevel"/>
    <w:tmpl w:val="CB40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C2618AA"/>
    <w:multiLevelType w:val="multilevel"/>
    <w:tmpl w:val="D66C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395469">
    <w:abstractNumId w:val="17"/>
  </w:num>
  <w:num w:numId="2" w16cid:durableId="1028483081">
    <w:abstractNumId w:val="10"/>
  </w:num>
  <w:num w:numId="3" w16cid:durableId="498425709">
    <w:abstractNumId w:val="6"/>
  </w:num>
  <w:num w:numId="4" w16cid:durableId="1858107951">
    <w:abstractNumId w:val="7"/>
  </w:num>
  <w:num w:numId="5" w16cid:durableId="461963885">
    <w:abstractNumId w:val="15"/>
  </w:num>
  <w:num w:numId="6" w16cid:durableId="817766398">
    <w:abstractNumId w:val="16"/>
  </w:num>
  <w:num w:numId="7" w16cid:durableId="790979940">
    <w:abstractNumId w:val="2"/>
  </w:num>
  <w:num w:numId="8" w16cid:durableId="2054235528">
    <w:abstractNumId w:val="5"/>
  </w:num>
  <w:num w:numId="9" w16cid:durableId="1990549414">
    <w:abstractNumId w:val="4"/>
  </w:num>
  <w:num w:numId="10" w16cid:durableId="1460881753">
    <w:abstractNumId w:val="3"/>
  </w:num>
  <w:num w:numId="11" w16cid:durableId="1707487310">
    <w:abstractNumId w:val="11"/>
  </w:num>
  <w:num w:numId="12" w16cid:durableId="392628055">
    <w:abstractNumId w:val="3"/>
    <w:lvlOverride w:ilvl="0">
      <w:startOverride w:val="1"/>
    </w:lvlOverride>
  </w:num>
  <w:num w:numId="13" w16cid:durableId="1302266216">
    <w:abstractNumId w:val="14"/>
  </w:num>
  <w:num w:numId="14" w16cid:durableId="976372087">
    <w:abstractNumId w:val="13"/>
  </w:num>
  <w:num w:numId="15" w16cid:durableId="1802646080">
    <w:abstractNumId w:val="9"/>
  </w:num>
  <w:num w:numId="16" w16cid:durableId="608589520">
    <w:abstractNumId w:val="4"/>
    <w:lvlOverride w:ilvl="0">
      <w:startOverride w:val="1"/>
    </w:lvlOverride>
  </w:num>
  <w:num w:numId="17" w16cid:durableId="1743522365">
    <w:abstractNumId w:val="18"/>
  </w:num>
  <w:num w:numId="18" w16cid:durableId="2137213637">
    <w:abstractNumId w:val="12"/>
  </w:num>
  <w:num w:numId="19" w16cid:durableId="1926838900">
    <w:abstractNumId w:val="1"/>
  </w:num>
  <w:num w:numId="20" w16cid:durableId="29382961">
    <w:abstractNumId w:val="19"/>
  </w:num>
  <w:num w:numId="21" w16cid:durableId="360932951">
    <w:abstractNumId w:val="8"/>
  </w:num>
  <w:num w:numId="22" w16cid:durableId="1407461805">
    <w:abstractNumId w:val="3"/>
    <w:lvlOverride w:ilvl="0">
      <w:startOverride w:val="1"/>
    </w:lvlOverride>
  </w:num>
  <w:num w:numId="23" w16cid:durableId="1425540104">
    <w:abstractNumId w:val="0"/>
  </w:num>
  <w:num w:numId="24" w16cid:durableId="58985317">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9A0"/>
    <w:rsid w:val="00007799"/>
    <w:rsid w:val="00007E68"/>
    <w:rsid w:val="00016265"/>
    <w:rsid w:val="0004123D"/>
    <w:rsid w:val="00056090"/>
    <w:rsid w:val="00057E76"/>
    <w:rsid w:val="00063496"/>
    <w:rsid w:val="000647E4"/>
    <w:rsid w:val="00072AD1"/>
    <w:rsid w:val="00085885"/>
    <w:rsid w:val="000866AC"/>
    <w:rsid w:val="000909E8"/>
    <w:rsid w:val="00092315"/>
    <w:rsid w:val="00092796"/>
    <w:rsid w:val="000A31FD"/>
    <w:rsid w:val="000A768F"/>
    <w:rsid w:val="000B0FE6"/>
    <w:rsid w:val="000B11D3"/>
    <w:rsid w:val="000B44B8"/>
    <w:rsid w:val="000C5512"/>
    <w:rsid w:val="000E5F58"/>
    <w:rsid w:val="000E69F9"/>
    <w:rsid w:val="001051D0"/>
    <w:rsid w:val="00106210"/>
    <w:rsid w:val="00130895"/>
    <w:rsid w:val="00176DD3"/>
    <w:rsid w:val="00195F1C"/>
    <w:rsid w:val="001A0C3C"/>
    <w:rsid w:val="001A454F"/>
    <w:rsid w:val="001B016C"/>
    <w:rsid w:val="001B1F29"/>
    <w:rsid w:val="001C27E3"/>
    <w:rsid w:val="001E00B9"/>
    <w:rsid w:val="001E19B5"/>
    <w:rsid w:val="001E5548"/>
    <w:rsid w:val="00207CDA"/>
    <w:rsid w:val="0022735E"/>
    <w:rsid w:val="00231C1C"/>
    <w:rsid w:val="0023536A"/>
    <w:rsid w:val="00240764"/>
    <w:rsid w:val="00243762"/>
    <w:rsid w:val="002662B6"/>
    <w:rsid w:val="00283EA9"/>
    <w:rsid w:val="002A57CF"/>
    <w:rsid w:val="002A77FF"/>
    <w:rsid w:val="002B34A3"/>
    <w:rsid w:val="002C09CE"/>
    <w:rsid w:val="002C192E"/>
    <w:rsid w:val="002C2223"/>
    <w:rsid w:val="002D1EAB"/>
    <w:rsid w:val="002D34BA"/>
    <w:rsid w:val="002D34E8"/>
    <w:rsid w:val="002E47CA"/>
    <w:rsid w:val="002F7089"/>
    <w:rsid w:val="002F78FD"/>
    <w:rsid w:val="003019D1"/>
    <w:rsid w:val="003059AB"/>
    <w:rsid w:val="00312640"/>
    <w:rsid w:val="00317DB8"/>
    <w:rsid w:val="003515CC"/>
    <w:rsid w:val="00362CC1"/>
    <w:rsid w:val="0036558E"/>
    <w:rsid w:val="003716B9"/>
    <w:rsid w:val="003A0BB6"/>
    <w:rsid w:val="003A6537"/>
    <w:rsid w:val="003D2EB7"/>
    <w:rsid w:val="003D3BCF"/>
    <w:rsid w:val="003D4B9F"/>
    <w:rsid w:val="003E0866"/>
    <w:rsid w:val="003E3E15"/>
    <w:rsid w:val="003E5776"/>
    <w:rsid w:val="003F2EF3"/>
    <w:rsid w:val="003F5259"/>
    <w:rsid w:val="00401C00"/>
    <w:rsid w:val="00403D35"/>
    <w:rsid w:val="00411C65"/>
    <w:rsid w:val="00414F81"/>
    <w:rsid w:val="00416A5A"/>
    <w:rsid w:val="00421E23"/>
    <w:rsid w:val="004263ED"/>
    <w:rsid w:val="00454CA2"/>
    <w:rsid w:val="00456458"/>
    <w:rsid w:val="0046389A"/>
    <w:rsid w:val="00475C0B"/>
    <w:rsid w:val="00480800"/>
    <w:rsid w:val="00496103"/>
    <w:rsid w:val="004972B9"/>
    <w:rsid w:val="004A41AE"/>
    <w:rsid w:val="004A6C93"/>
    <w:rsid w:val="004B245D"/>
    <w:rsid w:val="004B35FC"/>
    <w:rsid w:val="004B6370"/>
    <w:rsid w:val="004D45ED"/>
    <w:rsid w:val="004D46C0"/>
    <w:rsid w:val="004F5FAE"/>
    <w:rsid w:val="004F69AD"/>
    <w:rsid w:val="00506AFD"/>
    <w:rsid w:val="00507238"/>
    <w:rsid w:val="00507328"/>
    <w:rsid w:val="00513AAB"/>
    <w:rsid w:val="00516F80"/>
    <w:rsid w:val="00525B8C"/>
    <w:rsid w:val="00525C3E"/>
    <w:rsid w:val="00526B55"/>
    <w:rsid w:val="00560449"/>
    <w:rsid w:val="00560D52"/>
    <w:rsid w:val="0056263D"/>
    <w:rsid w:val="005774D6"/>
    <w:rsid w:val="005820B0"/>
    <w:rsid w:val="005904FA"/>
    <w:rsid w:val="005A75E2"/>
    <w:rsid w:val="005C35A8"/>
    <w:rsid w:val="005C58B3"/>
    <w:rsid w:val="005D5A71"/>
    <w:rsid w:val="005D6932"/>
    <w:rsid w:val="005E158D"/>
    <w:rsid w:val="005E5EA2"/>
    <w:rsid w:val="005F0459"/>
    <w:rsid w:val="005F5595"/>
    <w:rsid w:val="005F6673"/>
    <w:rsid w:val="00601915"/>
    <w:rsid w:val="00614637"/>
    <w:rsid w:val="00621D9A"/>
    <w:rsid w:val="006422A2"/>
    <w:rsid w:val="0066182E"/>
    <w:rsid w:val="006820BE"/>
    <w:rsid w:val="00682E2D"/>
    <w:rsid w:val="0069318E"/>
    <w:rsid w:val="006A2DF8"/>
    <w:rsid w:val="006A7633"/>
    <w:rsid w:val="006C16A0"/>
    <w:rsid w:val="006C7B0F"/>
    <w:rsid w:val="006D54F7"/>
    <w:rsid w:val="006D75D4"/>
    <w:rsid w:val="006D790E"/>
    <w:rsid w:val="006D7C9A"/>
    <w:rsid w:val="006E2860"/>
    <w:rsid w:val="007042E5"/>
    <w:rsid w:val="007073FD"/>
    <w:rsid w:val="00711DF2"/>
    <w:rsid w:val="00714E29"/>
    <w:rsid w:val="00723018"/>
    <w:rsid w:val="007316ED"/>
    <w:rsid w:val="00736690"/>
    <w:rsid w:val="00737551"/>
    <w:rsid w:val="00737A4D"/>
    <w:rsid w:val="00741ECD"/>
    <w:rsid w:val="007424D7"/>
    <w:rsid w:val="00757152"/>
    <w:rsid w:val="007634FE"/>
    <w:rsid w:val="00764810"/>
    <w:rsid w:val="00774953"/>
    <w:rsid w:val="0077630E"/>
    <w:rsid w:val="00780400"/>
    <w:rsid w:val="007859BF"/>
    <w:rsid w:val="00787D38"/>
    <w:rsid w:val="00787F55"/>
    <w:rsid w:val="00793A37"/>
    <w:rsid w:val="00795CBB"/>
    <w:rsid w:val="007B7783"/>
    <w:rsid w:val="007C196D"/>
    <w:rsid w:val="007D25DE"/>
    <w:rsid w:val="007D2614"/>
    <w:rsid w:val="007D6F89"/>
    <w:rsid w:val="007F79BF"/>
    <w:rsid w:val="00802C52"/>
    <w:rsid w:val="00804810"/>
    <w:rsid w:val="0080546C"/>
    <w:rsid w:val="00813905"/>
    <w:rsid w:val="008303F4"/>
    <w:rsid w:val="00835B9C"/>
    <w:rsid w:val="00841A83"/>
    <w:rsid w:val="00881AAE"/>
    <w:rsid w:val="00882754"/>
    <w:rsid w:val="00885D21"/>
    <w:rsid w:val="0089187A"/>
    <w:rsid w:val="008A1B0B"/>
    <w:rsid w:val="008B25E6"/>
    <w:rsid w:val="008B28C1"/>
    <w:rsid w:val="008C0669"/>
    <w:rsid w:val="008C389A"/>
    <w:rsid w:val="008D216C"/>
    <w:rsid w:val="008D4020"/>
    <w:rsid w:val="00914018"/>
    <w:rsid w:val="00917B8E"/>
    <w:rsid w:val="00936C4F"/>
    <w:rsid w:val="009428EC"/>
    <w:rsid w:val="00943C4D"/>
    <w:rsid w:val="00945123"/>
    <w:rsid w:val="009545FD"/>
    <w:rsid w:val="0096440D"/>
    <w:rsid w:val="009704FF"/>
    <w:rsid w:val="00973447"/>
    <w:rsid w:val="0098485D"/>
    <w:rsid w:val="009A3093"/>
    <w:rsid w:val="009F452B"/>
    <w:rsid w:val="00A0191C"/>
    <w:rsid w:val="00A177A3"/>
    <w:rsid w:val="00A20039"/>
    <w:rsid w:val="00A25465"/>
    <w:rsid w:val="00A2730D"/>
    <w:rsid w:val="00A27FF2"/>
    <w:rsid w:val="00A34D68"/>
    <w:rsid w:val="00A43A9C"/>
    <w:rsid w:val="00A44EE0"/>
    <w:rsid w:val="00A5348B"/>
    <w:rsid w:val="00A55D0E"/>
    <w:rsid w:val="00A563B1"/>
    <w:rsid w:val="00A571EB"/>
    <w:rsid w:val="00A5740C"/>
    <w:rsid w:val="00A57896"/>
    <w:rsid w:val="00A63337"/>
    <w:rsid w:val="00A66348"/>
    <w:rsid w:val="00A725C3"/>
    <w:rsid w:val="00A84218"/>
    <w:rsid w:val="00A86A07"/>
    <w:rsid w:val="00A91811"/>
    <w:rsid w:val="00A91E63"/>
    <w:rsid w:val="00A97DD8"/>
    <w:rsid w:val="00AB281A"/>
    <w:rsid w:val="00AB3177"/>
    <w:rsid w:val="00AB639C"/>
    <w:rsid w:val="00AB74D1"/>
    <w:rsid w:val="00AC2346"/>
    <w:rsid w:val="00AC749E"/>
    <w:rsid w:val="00AC7886"/>
    <w:rsid w:val="00AD6E8A"/>
    <w:rsid w:val="00AE30CE"/>
    <w:rsid w:val="00AF2B00"/>
    <w:rsid w:val="00B02E7A"/>
    <w:rsid w:val="00B06098"/>
    <w:rsid w:val="00B07819"/>
    <w:rsid w:val="00B15F53"/>
    <w:rsid w:val="00B17085"/>
    <w:rsid w:val="00B226A7"/>
    <w:rsid w:val="00B25464"/>
    <w:rsid w:val="00B32608"/>
    <w:rsid w:val="00B411B9"/>
    <w:rsid w:val="00B4311C"/>
    <w:rsid w:val="00B5330B"/>
    <w:rsid w:val="00B67A03"/>
    <w:rsid w:val="00B71E66"/>
    <w:rsid w:val="00B721F1"/>
    <w:rsid w:val="00BB2FAB"/>
    <w:rsid w:val="00BC5471"/>
    <w:rsid w:val="00BC5741"/>
    <w:rsid w:val="00BD1443"/>
    <w:rsid w:val="00BD5C6F"/>
    <w:rsid w:val="00BE5093"/>
    <w:rsid w:val="00BE59B5"/>
    <w:rsid w:val="00BE63C8"/>
    <w:rsid w:val="00BE7D8F"/>
    <w:rsid w:val="00BF280C"/>
    <w:rsid w:val="00BF7896"/>
    <w:rsid w:val="00C03C19"/>
    <w:rsid w:val="00C06BDE"/>
    <w:rsid w:val="00C10AF2"/>
    <w:rsid w:val="00C1703F"/>
    <w:rsid w:val="00C322CA"/>
    <w:rsid w:val="00C331BC"/>
    <w:rsid w:val="00C34AB1"/>
    <w:rsid w:val="00C6122F"/>
    <w:rsid w:val="00C644EC"/>
    <w:rsid w:val="00C66EE7"/>
    <w:rsid w:val="00C869A9"/>
    <w:rsid w:val="00CD5E3C"/>
    <w:rsid w:val="00CE5800"/>
    <w:rsid w:val="00D0003D"/>
    <w:rsid w:val="00D0630C"/>
    <w:rsid w:val="00D1638E"/>
    <w:rsid w:val="00D315B0"/>
    <w:rsid w:val="00D319F1"/>
    <w:rsid w:val="00D36ACB"/>
    <w:rsid w:val="00D43FD4"/>
    <w:rsid w:val="00D444BA"/>
    <w:rsid w:val="00D45594"/>
    <w:rsid w:val="00D56C1B"/>
    <w:rsid w:val="00D62A21"/>
    <w:rsid w:val="00D732BB"/>
    <w:rsid w:val="00D758F1"/>
    <w:rsid w:val="00D80D68"/>
    <w:rsid w:val="00D92EA9"/>
    <w:rsid w:val="00DB0FE8"/>
    <w:rsid w:val="00DB5048"/>
    <w:rsid w:val="00DC1D90"/>
    <w:rsid w:val="00DC25F5"/>
    <w:rsid w:val="00DD49C7"/>
    <w:rsid w:val="00DE4519"/>
    <w:rsid w:val="00DE4D0D"/>
    <w:rsid w:val="00DE5E2F"/>
    <w:rsid w:val="00DF1C5C"/>
    <w:rsid w:val="00DF5902"/>
    <w:rsid w:val="00DF7A42"/>
    <w:rsid w:val="00E017EF"/>
    <w:rsid w:val="00E02081"/>
    <w:rsid w:val="00E174ED"/>
    <w:rsid w:val="00E20784"/>
    <w:rsid w:val="00E20EB4"/>
    <w:rsid w:val="00E23EAC"/>
    <w:rsid w:val="00E36D24"/>
    <w:rsid w:val="00E408AC"/>
    <w:rsid w:val="00E47CCE"/>
    <w:rsid w:val="00E504CD"/>
    <w:rsid w:val="00E50D8D"/>
    <w:rsid w:val="00E624A7"/>
    <w:rsid w:val="00E66CA0"/>
    <w:rsid w:val="00E751BB"/>
    <w:rsid w:val="00E86E32"/>
    <w:rsid w:val="00E90CBD"/>
    <w:rsid w:val="00E94B89"/>
    <w:rsid w:val="00EA7AA1"/>
    <w:rsid w:val="00ED698B"/>
    <w:rsid w:val="00EE2461"/>
    <w:rsid w:val="00EE4966"/>
    <w:rsid w:val="00EF3FDA"/>
    <w:rsid w:val="00F13D5C"/>
    <w:rsid w:val="00F208F6"/>
    <w:rsid w:val="00F21DBD"/>
    <w:rsid w:val="00F41FFC"/>
    <w:rsid w:val="00F55922"/>
    <w:rsid w:val="00F55FE1"/>
    <w:rsid w:val="00F709FB"/>
    <w:rsid w:val="00F71CF7"/>
    <w:rsid w:val="00F76EED"/>
    <w:rsid w:val="00F7714C"/>
    <w:rsid w:val="00F856D6"/>
    <w:rsid w:val="00F94905"/>
    <w:rsid w:val="00F95830"/>
    <w:rsid w:val="00FB11A6"/>
    <w:rsid w:val="00FB4148"/>
    <w:rsid w:val="00FC1B30"/>
    <w:rsid w:val="00FC54F8"/>
    <w:rsid w:val="00FD124C"/>
    <w:rsid w:val="00FD3951"/>
    <w:rsid w:val="00FD51CC"/>
    <w:rsid w:val="00FD6031"/>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semiHidden/>
    <w:unhideWhenUsed/>
    <w:rsid w:val="0056263D"/>
    <w:rPr>
      <w:sz w:val="16"/>
      <w:szCs w:val="16"/>
    </w:rPr>
  </w:style>
  <w:style w:type="paragraph" w:styleId="CommentText0">
    <w:name w:val="annotation text"/>
    <w:basedOn w:val="Normal"/>
    <w:link w:val="CommentTextChar"/>
    <w:unhideWhenUsed/>
    <w:rsid w:val="0056263D"/>
    <w:pPr>
      <w:spacing w:line="240" w:lineRule="auto"/>
    </w:pPr>
  </w:style>
  <w:style w:type="character" w:customStyle="1" w:styleId="CommentTextChar">
    <w:name w:val="Comment Text Char"/>
    <w:basedOn w:val="DefaultParagraphFont"/>
    <w:link w:val="CommentText0"/>
    <w:rsid w:val="0056263D"/>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56263D"/>
    <w:rPr>
      <w:b/>
      <w:bCs/>
    </w:rPr>
  </w:style>
  <w:style w:type="character" w:customStyle="1" w:styleId="CommentSubjectChar">
    <w:name w:val="Comment Subject Char"/>
    <w:basedOn w:val="CommentTextChar"/>
    <w:link w:val="CommentSubject"/>
    <w:uiPriority w:val="99"/>
    <w:semiHidden/>
    <w:rsid w:val="0056263D"/>
    <w:rPr>
      <w:rFonts w:ascii="Arial" w:hAnsi="Arial" w:cs="Arial"/>
      <w:b/>
      <w:bCs/>
      <w:sz w:val="20"/>
      <w:szCs w:val="20"/>
      <w:lang w:eastAsia="zh-CN"/>
    </w:rPr>
  </w:style>
  <w:style w:type="character" w:styleId="PlaceholderText">
    <w:name w:val="Placeholder Text"/>
    <w:basedOn w:val="DefaultParagraphFont"/>
    <w:uiPriority w:val="99"/>
    <w:semiHidden/>
    <w:rsid w:val="005C35A8"/>
    <w:rPr>
      <w:color w:val="666666"/>
    </w:rPr>
  </w:style>
  <w:style w:type="paragraph" w:styleId="Revision">
    <w:name w:val="Revision"/>
    <w:hidden/>
    <w:uiPriority w:val="99"/>
    <w:semiHidden/>
    <w:rsid w:val="00057E76"/>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B15F53"/>
    <w:rPr>
      <w:color w:val="954F72" w:themeColor="followedHyperlink"/>
      <w:u w:val="single"/>
    </w:rPr>
  </w:style>
  <w:style w:type="numbering" w:customStyle="1" w:styleId="CurrentList5">
    <w:name w:val="Current List5"/>
    <w:uiPriority w:val="99"/>
    <w:rsid w:val="0077495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71402126">
      <w:bodyDiv w:val="1"/>
      <w:marLeft w:val="0"/>
      <w:marRight w:val="0"/>
      <w:marTop w:val="0"/>
      <w:marBottom w:val="0"/>
      <w:divBdr>
        <w:top w:val="none" w:sz="0" w:space="0" w:color="auto"/>
        <w:left w:val="none" w:sz="0" w:space="0" w:color="auto"/>
        <w:bottom w:val="none" w:sz="0" w:space="0" w:color="auto"/>
        <w:right w:val="none" w:sz="0" w:space="0" w:color="auto"/>
      </w:divBdr>
    </w:div>
    <w:div w:id="376705934">
      <w:bodyDiv w:val="1"/>
      <w:marLeft w:val="0"/>
      <w:marRight w:val="0"/>
      <w:marTop w:val="0"/>
      <w:marBottom w:val="0"/>
      <w:divBdr>
        <w:top w:val="none" w:sz="0" w:space="0" w:color="auto"/>
        <w:left w:val="none" w:sz="0" w:space="0" w:color="auto"/>
        <w:bottom w:val="none" w:sz="0" w:space="0" w:color="auto"/>
        <w:right w:val="none" w:sz="0" w:space="0" w:color="auto"/>
      </w:divBdr>
    </w:div>
    <w:div w:id="690759703">
      <w:bodyDiv w:val="1"/>
      <w:marLeft w:val="0"/>
      <w:marRight w:val="0"/>
      <w:marTop w:val="0"/>
      <w:marBottom w:val="0"/>
      <w:divBdr>
        <w:top w:val="none" w:sz="0" w:space="0" w:color="auto"/>
        <w:left w:val="none" w:sz="0" w:space="0" w:color="auto"/>
        <w:bottom w:val="none" w:sz="0" w:space="0" w:color="auto"/>
        <w:right w:val="none" w:sz="0" w:space="0" w:color="auto"/>
      </w:divBdr>
    </w:div>
    <w:div w:id="789520006">
      <w:bodyDiv w:val="1"/>
      <w:marLeft w:val="0"/>
      <w:marRight w:val="0"/>
      <w:marTop w:val="0"/>
      <w:marBottom w:val="0"/>
      <w:divBdr>
        <w:top w:val="none" w:sz="0" w:space="0" w:color="auto"/>
        <w:left w:val="none" w:sz="0" w:space="0" w:color="auto"/>
        <w:bottom w:val="none" w:sz="0" w:space="0" w:color="auto"/>
        <w:right w:val="none" w:sz="0" w:space="0" w:color="auto"/>
      </w:divBdr>
    </w:div>
    <w:div w:id="843517959">
      <w:bodyDiv w:val="1"/>
      <w:marLeft w:val="0"/>
      <w:marRight w:val="0"/>
      <w:marTop w:val="0"/>
      <w:marBottom w:val="0"/>
      <w:divBdr>
        <w:top w:val="none" w:sz="0" w:space="0" w:color="auto"/>
        <w:left w:val="none" w:sz="0" w:space="0" w:color="auto"/>
        <w:bottom w:val="none" w:sz="0" w:space="0" w:color="auto"/>
        <w:right w:val="none" w:sz="0" w:space="0" w:color="auto"/>
      </w:divBdr>
    </w:div>
    <w:div w:id="968903405">
      <w:bodyDiv w:val="1"/>
      <w:marLeft w:val="0"/>
      <w:marRight w:val="0"/>
      <w:marTop w:val="0"/>
      <w:marBottom w:val="0"/>
      <w:divBdr>
        <w:top w:val="none" w:sz="0" w:space="0" w:color="auto"/>
        <w:left w:val="none" w:sz="0" w:space="0" w:color="auto"/>
        <w:bottom w:val="none" w:sz="0" w:space="0" w:color="auto"/>
        <w:right w:val="none" w:sz="0" w:space="0" w:color="auto"/>
      </w:divBdr>
    </w:div>
    <w:div w:id="1157841554">
      <w:bodyDiv w:val="1"/>
      <w:marLeft w:val="0"/>
      <w:marRight w:val="0"/>
      <w:marTop w:val="0"/>
      <w:marBottom w:val="0"/>
      <w:divBdr>
        <w:top w:val="none" w:sz="0" w:space="0" w:color="auto"/>
        <w:left w:val="none" w:sz="0" w:space="0" w:color="auto"/>
        <w:bottom w:val="none" w:sz="0" w:space="0" w:color="auto"/>
        <w:right w:val="none" w:sz="0" w:space="0" w:color="auto"/>
      </w:divBdr>
    </w:div>
    <w:div w:id="1291519815">
      <w:bodyDiv w:val="1"/>
      <w:marLeft w:val="0"/>
      <w:marRight w:val="0"/>
      <w:marTop w:val="0"/>
      <w:marBottom w:val="0"/>
      <w:divBdr>
        <w:top w:val="none" w:sz="0" w:space="0" w:color="auto"/>
        <w:left w:val="none" w:sz="0" w:space="0" w:color="auto"/>
        <w:bottom w:val="none" w:sz="0" w:space="0" w:color="auto"/>
        <w:right w:val="none" w:sz="0" w:space="0" w:color="auto"/>
      </w:divBdr>
    </w:div>
    <w:div w:id="1365907484">
      <w:bodyDiv w:val="1"/>
      <w:marLeft w:val="0"/>
      <w:marRight w:val="0"/>
      <w:marTop w:val="0"/>
      <w:marBottom w:val="0"/>
      <w:divBdr>
        <w:top w:val="none" w:sz="0" w:space="0" w:color="auto"/>
        <w:left w:val="none" w:sz="0" w:space="0" w:color="auto"/>
        <w:bottom w:val="none" w:sz="0" w:space="0" w:color="auto"/>
        <w:right w:val="none" w:sz="0" w:space="0" w:color="auto"/>
      </w:divBdr>
    </w:div>
    <w:div w:id="1366951861">
      <w:bodyDiv w:val="1"/>
      <w:marLeft w:val="0"/>
      <w:marRight w:val="0"/>
      <w:marTop w:val="0"/>
      <w:marBottom w:val="0"/>
      <w:divBdr>
        <w:top w:val="none" w:sz="0" w:space="0" w:color="auto"/>
        <w:left w:val="none" w:sz="0" w:space="0" w:color="auto"/>
        <w:bottom w:val="none" w:sz="0" w:space="0" w:color="auto"/>
        <w:right w:val="none" w:sz="0" w:space="0" w:color="auto"/>
      </w:divBdr>
    </w:div>
    <w:div w:id="1556089557">
      <w:bodyDiv w:val="1"/>
      <w:marLeft w:val="0"/>
      <w:marRight w:val="0"/>
      <w:marTop w:val="0"/>
      <w:marBottom w:val="0"/>
      <w:divBdr>
        <w:top w:val="none" w:sz="0" w:space="0" w:color="auto"/>
        <w:left w:val="none" w:sz="0" w:space="0" w:color="auto"/>
        <w:bottom w:val="none" w:sz="0" w:space="0" w:color="auto"/>
        <w:right w:val="none" w:sz="0" w:space="0" w:color="auto"/>
      </w:divBdr>
      <w:divsChild>
        <w:div w:id="1121455532">
          <w:marLeft w:val="0"/>
          <w:marRight w:val="0"/>
          <w:marTop w:val="0"/>
          <w:marBottom w:val="0"/>
          <w:divBdr>
            <w:top w:val="none" w:sz="0" w:space="0" w:color="auto"/>
            <w:left w:val="none" w:sz="0" w:space="0" w:color="auto"/>
            <w:bottom w:val="none" w:sz="0" w:space="0" w:color="auto"/>
            <w:right w:val="none" w:sz="0" w:space="0" w:color="auto"/>
          </w:divBdr>
        </w:div>
        <w:div w:id="272831375">
          <w:marLeft w:val="0"/>
          <w:marRight w:val="0"/>
          <w:marTop w:val="0"/>
          <w:marBottom w:val="0"/>
          <w:divBdr>
            <w:top w:val="none" w:sz="0" w:space="0" w:color="auto"/>
            <w:left w:val="none" w:sz="0" w:space="0" w:color="auto"/>
            <w:bottom w:val="none" w:sz="0" w:space="0" w:color="auto"/>
            <w:right w:val="none" w:sz="0" w:space="0" w:color="auto"/>
          </w:divBdr>
        </w:div>
      </w:divsChild>
    </w:div>
    <w:div w:id="1655570718">
      <w:bodyDiv w:val="1"/>
      <w:marLeft w:val="0"/>
      <w:marRight w:val="0"/>
      <w:marTop w:val="0"/>
      <w:marBottom w:val="0"/>
      <w:divBdr>
        <w:top w:val="none" w:sz="0" w:space="0" w:color="auto"/>
        <w:left w:val="none" w:sz="0" w:space="0" w:color="auto"/>
        <w:bottom w:val="none" w:sz="0" w:space="0" w:color="auto"/>
        <w:right w:val="none" w:sz="0" w:space="0" w:color="auto"/>
      </w:divBdr>
    </w:div>
    <w:div w:id="1679428505">
      <w:bodyDiv w:val="1"/>
      <w:marLeft w:val="0"/>
      <w:marRight w:val="0"/>
      <w:marTop w:val="0"/>
      <w:marBottom w:val="0"/>
      <w:divBdr>
        <w:top w:val="none" w:sz="0" w:space="0" w:color="auto"/>
        <w:left w:val="none" w:sz="0" w:space="0" w:color="auto"/>
        <w:bottom w:val="none" w:sz="0" w:space="0" w:color="auto"/>
        <w:right w:val="none" w:sz="0" w:space="0" w:color="auto"/>
      </w:divBdr>
    </w:div>
    <w:div w:id="1683319626">
      <w:bodyDiv w:val="1"/>
      <w:marLeft w:val="0"/>
      <w:marRight w:val="0"/>
      <w:marTop w:val="0"/>
      <w:marBottom w:val="0"/>
      <w:divBdr>
        <w:top w:val="none" w:sz="0" w:space="0" w:color="auto"/>
        <w:left w:val="none" w:sz="0" w:space="0" w:color="auto"/>
        <w:bottom w:val="none" w:sz="0" w:space="0" w:color="auto"/>
        <w:right w:val="none" w:sz="0" w:space="0" w:color="auto"/>
      </w:divBdr>
    </w:div>
    <w:div w:id="1858427134">
      <w:bodyDiv w:val="1"/>
      <w:marLeft w:val="0"/>
      <w:marRight w:val="0"/>
      <w:marTop w:val="0"/>
      <w:marBottom w:val="0"/>
      <w:divBdr>
        <w:top w:val="none" w:sz="0" w:space="0" w:color="auto"/>
        <w:left w:val="none" w:sz="0" w:space="0" w:color="auto"/>
        <w:bottom w:val="none" w:sz="0" w:space="0" w:color="auto"/>
        <w:right w:val="none" w:sz="0" w:space="0" w:color="auto"/>
      </w:divBdr>
      <w:divsChild>
        <w:div w:id="1392846455">
          <w:marLeft w:val="0"/>
          <w:marRight w:val="0"/>
          <w:marTop w:val="0"/>
          <w:marBottom w:val="0"/>
          <w:divBdr>
            <w:top w:val="none" w:sz="0" w:space="0" w:color="auto"/>
            <w:left w:val="none" w:sz="0" w:space="0" w:color="auto"/>
            <w:bottom w:val="none" w:sz="0" w:space="0" w:color="auto"/>
            <w:right w:val="none" w:sz="0" w:space="0" w:color="auto"/>
          </w:divBdr>
        </w:div>
        <w:div w:id="1026054193">
          <w:marLeft w:val="0"/>
          <w:marRight w:val="0"/>
          <w:marTop w:val="0"/>
          <w:marBottom w:val="0"/>
          <w:divBdr>
            <w:top w:val="none" w:sz="0" w:space="0" w:color="auto"/>
            <w:left w:val="none" w:sz="0" w:space="0" w:color="auto"/>
            <w:bottom w:val="none" w:sz="0" w:space="0" w:color="auto"/>
            <w:right w:val="none" w:sz="0" w:space="0" w:color="auto"/>
          </w:divBdr>
        </w:div>
      </w:divsChild>
    </w:div>
    <w:div w:id="1877279154">
      <w:bodyDiv w:val="1"/>
      <w:marLeft w:val="0"/>
      <w:marRight w:val="0"/>
      <w:marTop w:val="0"/>
      <w:marBottom w:val="0"/>
      <w:divBdr>
        <w:top w:val="none" w:sz="0" w:space="0" w:color="auto"/>
        <w:left w:val="none" w:sz="0" w:space="0" w:color="auto"/>
        <w:bottom w:val="none" w:sz="0" w:space="0" w:color="auto"/>
        <w:right w:val="none" w:sz="0" w:space="0" w:color="auto"/>
      </w:divBdr>
    </w:div>
    <w:div w:id="1952665570">
      <w:bodyDiv w:val="1"/>
      <w:marLeft w:val="0"/>
      <w:marRight w:val="0"/>
      <w:marTop w:val="0"/>
      <w:marBottom w:val="0"/>
      <w:divBdr>
        <w:top w:val="none" w:sz="0" w:space="0" w:color="auto"/>
        <w:left w:val="none" w:sz="0" w:space="0" w:color="auto"/>
        <w:bottom w:val="none" w:sz="0" w:space="0" w:color="auto"/>
        <w:right w:val="none" w:sz="0" w:space="0" w:color="auto"/>
      </w:divBdr>
    </w:div>
    <w:div w:id="2012444115">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ience.cleapss.org.uk/Resource-Info/HC047a-Hydrochloric-acid.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rsc.org/resources/explaining-our-health-and-safety-guidance/1752.article" TargetMode="External"/><Relationship Id="rId17" Type="http://schemas.openxmlformats.org/officeDocument/2006/relationships/hyperlink" Target="https://science.cleapss.org.uk/Resource-Info/HC032-Dyes-indicators-and-stains.aspx" TargetMode="External"/><Relationship Id="rId2" Type="http://schemas.openxmlformats.org/officeDocument/2006/relationships/customXml" Target="../customXml/item2.xml"/><Relationship Id="rId16" Type="http://schemas.openxmlformats.org/officeDocument/2006/relationships/hyperlink" Target="https://science.cleapss.org.uk/Resource-Info/HC091a-Sodium-hydroxid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rsc.org/experiments/microscale-titration-11-16-years/4020614.article"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https://rsc.li/43bjGq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Props1.xml><?xml version="1.0" encoding="utf-8"?>
<ds:datastoreItem xmlns:ds="http://schemas.openxmlformats.org/officeDocument/2006/customXml" ds:itemID="{755D733D-65EB-4AE5-921B-1DF5F0418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BF28B-12A9-43D6-AF0C-588337C05B07}">
  <ds:schemaRefs>
    <ds:schemaRef ds:uri="http://schemas.microsoft.com/sharepoint/v3/contenttype/forms"/>
  </ds:schemaRefs>
</ds:datastoreItem>
</file>

<file path=customXml/itemProps3.xml><?xml version="1.0" encoding="utf-8"?>
<ds:datastoreItem xmlns:ds="http://schemas.openxmlformats.org/officeDocument/2006/customXml" ds:itemID="{92891480-FC73-47AB-9780-27D4769F1E85}">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1327</Words>
  <Characters>7156</Characters>
  <Application>Microsoft Office Word</Application>
  <DocSecurity>0</DocSecurity>
  <Lines>149</Lines>
  <Paragraphs>91</Paragraphs>
  <ScaleCrop>false</ScaleCrop>
  <HeadingPairs>
    <vt:vector size="2" baseType="variant">
      <vt:variant>
        <vt:lpstr>Title</vt:lpstr>
      </vt:variant>
      <vt:variant>
        <vt:i4>1</vt:i4>
      </vt:variant>
    </vt:vector>
  </HeadingPairs>
  <TitlesOfParts>
    <vt:vector size="1" baseType="lpstr">
      <vt:lpstr>Microscale titration teacher notes</vt:lpstr>
    </vt:vector>
  </TitlesOfParts>
  <Manager/>
  <Company>Royal Society of Chemistry</Company>
  <LinksUpToDate>false</LinksUpToDate>
  <CharactersWithSpaces>8392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Microscale titration teacher notes</dc:title>
  <dc:subject/>
  <dc:creator>Royal Society of Chemistry</dc:creator>
  <cp:keywords>science; chemistry; quantitative chemistry; titration; experiments; practicals</cp:keywords>
  <dc:description>Available from https://rsc.li/4jxSTfA; scaffolded and unscaffolded student sheets and teacher notes also available</dc:description>
  <cp:lastModifiedBy>Emily Kelly</cp:lastModifiedBy>
  <cp:revision>6</cp:revision>
  <dcterms:created xsi:type="dcterms:W3CDTF">2026-01-27T08:43:00Z</dcterms:created>
  <dcterms:modified xsi:type="dcterms:W3CDTF">2026-01-27T09:10:00Z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