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48CD" w14:textId="0806CE1B" w:rsidR="005F286E" w:rsidRPr="003B7300" w:rsidRDefault="008C2F85" w:rsidP="00CF6E3E">
      <w:pPr>
        <w:pStyle w:val="RSCH1"/>
        <w:rPr>
          <w:color w:val="991E66"/>
        </w:rPr>
      </w:pPr>
      <w:r>
        <w:rPr>
          <w:color w:val="991E66"/>
        </w:rPr>
        <w:t xml:space="preserve">Thermite </w:t>
      </w:r>
      <w:r w:rsidR="005C4D6A">
        <w:rPr>
          <w:color w:val="991E66"/>
        </w:rPr>
        <w:t>under a beaker</w:t>
      </w:r>
    </w:p>
    <w:p w14:paraId="665E0536" w14:textId="74F021D7" w:rsidR="001A278F" w:rsidRPr="000878DA" w:rsidRDefault="00905E09" w:rsidP="008C2F85">
      <w:pPr>
        <w:pStyle w:val="RSCBasictext"/>
        <w:rPr>
          <w:rStyle w:val="Hyperlink"/>
          <w:rFonts w:eastAsia="Calibri" w:cs="Calibri"/>
          <w:b/>
          <w:color w:val="222222"/>
          <w:u w:val="none"/>
          <w:lang w:eastAsia="en-GB"/>
        </w:rPr>
      </w:pPr>
      <w:bookmarkStart w:id="0" w:name="_Hlk133917238"/>
      <w:r w:rsidRPr="000878DA">
        <w:rPr>
          <w:lang w:eastAsia="en-GB"/>
        </w:rPr>
        <w:t>Th</w:t>
      </w:r>
      <w:r w:rsidR="00104CB2">
        <w:rPr>
          <w:lang w:eastAsia="en-GB"/>
        </w:rPr>
        <w:t>ese notes</w:t>
      </w:r>
      <w:r w:rsidRPr="000878DA">
        <w:rPr>
          <w:lang w:eastAsia="en-GB"/>
        </w:rPr>
        <w:t xml:space="preserve"> </w:t>
      </w:r>
      <w:r w:rsidR="00104CB2">
        <w:rPr>
          <w:lang w:eastAsia="en-GB"/>
        </w:rPr>
        <w:t>accompany</w:t>
      </w:r>
      <w:r w:rsidR="001A278F" w:rsidRPr="000878DA">
        <w:rPr>
          <w:lang w:eastAsia="en-GB"/>
        </w:rPr>
        <w:t xml:space="preserve"> the </w:t>
      </w:r>
      <w:r w:rsidR="00104CB2">
        <w:rPr>
          <w:lang w:eastAsia="en-GB"/>
        </w:rPr>
        <w:t>video demonstration</w:t>
      </w:r>
      <w:r w:rsidR="001A278F" w:rsidRPr="000878DA">
        <w:rPr>
          <w:lang w:eastAsia="en-GB"/>
        </w:rPr>
        <w:t xml:space="preserve"> </w:t>
      </w:r>
      <w:r w:rsidR="005C4D6A">
        <w:rPr>
          <w:rFonts w:eastAsia="Calibri" w:cs="Calibri"/>
          <w:b/>
          <w:color w:val="222222"/>
        </w:rPr>
        <w:t>Microscale thermite</w:t>
      </w:r>
      <w:r w:rsidR="00104CB2">
        <w:rPr>
          <w:rFonts w:eastAsia="Calibri" w:cs="Calibri"/>
          <w:b/>
          <w:color w:val="222222"/>
        </w:rPr>
        <w:t xml:space="preserve"> </w:t>
      </w:r>
      <w:r w:rsidR="00B63F7E">
        <w:rPr>
          <w:lang w:eastAsia="en-GB"/>
        </w:rPr>
        <w:t>from</w:t>
      </w:r>
      <w:r w:rsidR="00B63F7E" w:rsidRPr="000878DA">
        <w:rPr>
          <w:lang w:eastAsia="en-GB"/>
        </w:rPr>
        <w:t xml:space="preserve"> </w:t>
      </w:r>
      <w:r w:rsidR="00B63F7E" w:rsidRPr="000878DA">
        <w:rPr>
          <w:i/>
          <w:iCs/>
          <w:lang w:eastAsia="en-GB"/>
        </w:rPr>
        <w:t>Education in Chemistry</w:t>
      </w:r>
      <w:r w:rsidR="00B63F7E" w:rsidRPr="000878DA">
        <w:rPr>
          <w:lang w:eastAsia="en-GB"/>
        </w:rPr>
        <w:t xml:space="preserve"> </w:t>
      </w:r>
      <w:r w:rsidR="001A278F" w:rsidRPr="000878DA">
        <w:rPr>
          <w:lang w:eastAsia="en-GB"/>
        </w:rPr>
        <w:t xml:space="preserve">which </w:t>
      </w:r>
      <w:r w:rsidR="00B63F7E">
        <w:rPr>
          <w:lang w:eastAsia="en-GB"/>
        </w:rPr>
        <w:t xml:space="preserve">you </w:t>
      </w:r>
      <w:r w:rsidR="001A278F" w:rsidRPr="000878DA">
        <w:rPr>
          <w:lang w:eastAsia="en-GB"/>
        </w:rPr>
        <w:t xml:space="preserve">can view at: </w:t>
      </w:r>
      <w:r w:rsidR="00063306" w:rsidRPr="00063306">
        <w:rPr>
          <w:color w:val="991E66" w:themeColor="accent1"/>
          <w:lang w:eastAsia="en-GB"/>
        </w:rPr>
        <w:t>https://</w:t>
      </w:r>
      <w:r w:rsidR="00B95DE7" w:rsidRPr="00B95DE7">
        <w:rPr>
          <w:color w:val="991E66" w:themeColor="accent1"/>
        </w:rPr>
        <w:t xml:space="preserve"> rsc.li/4w44o4u</w:t>
      </w:r>
    </w:p>
    <w:p w14:paraId="6CAC898F" w14:textId="77777777" w:rsidR="008C2F85" w:rsidRDefault="008C2F85" w:rsidP="008C2F85">
      <w:pPr>
        <w:pStyle w:val="RSCBasictext"/>
        <w:rPr>
          <w:b/>
          <w:bCs/>
          <w:lang w:eastAsia="en-GB"/>
        </w:rPr>
      </w:pPr>
      <w:r w:rsidRPr="008C2F85">
        <w:rPr>
          <w:lang w:eastAsia="en-GB"/>
        </w:rPr>
        <w:t>The thermite reaction is one of the most impressive demonstrations of redox chemistry a learner is likely to see. The current UK explosives regulations prohibit many older methods without an explosives certificate. CLEAPSS has developed a range of alternative methods which use explosive mixtures in controlled quantities and allow the next generation of students to witness the drama of the thermite reaction firsthand.</w:t>
      </w:r>
    </w:p>
    <w:p w14:paraId="1EBD8B3A" w14:textId="0DD81337" w:rsidR="008D57EC" w:rsidRDefault="008D57EC" w:rsidP="008C2F85">
      <w:pPr>
        <w:pStyle w:val="RSCBasictext"/>
        <w:rPr>
          <w:lang w:eastAsia="en-GB"/>
        </w:rPr>
      </w:pPr>
      <w:r w:rsidRPr="008D57EC">
        <w:rPr>
          <w:lang w:eastAsia="en-GB"/>
        </w:rPr>
        <w:t>This microscale version</w:t>
      </w:r>
      <w:r>
        <w:rPr>
          <w:lang w:eastAsia="en-GB"/>
        </w:rPr>
        <w:t xml:space="preserve"> of the thermite reaction</w:t>
      </w:r>
      <w:r w:rsidRPr="008D57EC">
        <w:rPr>
          <w:lang w:eastAsia="en-GB"/>
        </w:rPr>
        <w:t xml:space="preserve"> can be used when no suitable outdoor space or laboratory is available for the larger scale version. The reaction is on a much smaller scale and takes place under a beaker – perfect for containing the mess but keeping the magic.</w:t>
      </w:r>
    </w:p>
    <w:p w14:paraId="62042E64" w14:textId="7354FEBD" w:rsidR="008C2F85" w:rsidRPr="008C2F85" w:rsidRDefault="008C2F85" w:rsidP="008C2F85">
      <w:pPr>
        <w:pStyle w:val="RSCBasictext"/>
        <w:rPr>
          <w:lang w:eastAsia="en-GB"/>
        </w:rPr>
      </w:pPr>
      <w:r w:rsidRPr="008C2F85">
        <w:rPr>
          <w:lang w:eastAsia="en-GB"/>
        </w:rPr>
        <w:t>Use this demonstration in your 14–16 lessons on the reactivity series and redox reactions.</w:t>
      </w:r>
    </w:p>
    <w:p w14:paraId="4449B9EA" w14:textId="46924104" w:rsidR="00104CB2" w:rsidRDefault="008C2F85" w:rsidP="00104CB2">
      <w:pPr>
        <w:pStyle w:val="RSCH2"/>
        <w:rPr>
          <w:color w:val="8E1055"/>
          <w:lang w:eastAsia="en-GB"/>
        </w:rPr>
      </w:pPr>
      <w:r>
        <w:rPr>
          <w:color w:val="8E1055"/>
          <w:lang w:eastAsia="en-GB"/>
        </w:rPr>
        <w:t>Kit</w:t>
      </w:r>
    </w:p>
    <w:p w14:paraId="6EEAB071" w14:textId="77777777" w:rsidR="00D72F43" w:rsidRPr="00D72F43" w:rsidRDefault="00D72F43" w:rsidP="00D72F43">
      <w:pPr>
        <w:pStyle w:val="RSCBulletedlist"/>
      </w:pPr>
      <w:r w:rsidRPr="00D72F43">
        <w:t>Heat resistant mats (or a piece of hardboard)</w:t>
      </w:r>
    </w:p>
    <w:p w14:paraId="3C7FDB0F" w14:textId="77777777" w:rsidR="00D72F43" w:rsidRPr="00D72F43" w:rsidRDefault="00D72F43" w:rsidP="00D72F43">
      <w:pPr>
        <w:pStyle w:val="RSCBulletedlist"/>
      </w:pPr>
      <w:r w:rsidRPr="00D72F43">
        <w:t>Sand</w:t>
      </w:r>
    </w:p>
    <w:p w14:paraId="1003999B" w14:textId="77777777" w:rsidR="00D72F43" w:rsidRPr="00D72F43" w:rsidRDefault="00D72F43" w:rsidP="00D72F43">
      <w:pPr>
        <w:pStyle w:val="RSCBulletedlist"/>
      </w:pPr>
      <w:r w:rsidRPr="00D72F43">
        <w:t>Small tin with wide base (e.g. a salmon or sardine tin)</w:t>
      </w:r>
    </w:p>
    <w:p w14:paraId="752889E6" w14:textId="77777777" w:rsidR="00D72F43" w:rsidRPr="00D72F43" w:rsidRDefault="00D72F43" w:rsidP="00D72F43">
      <w:pPr>
        <w:pStyle w:val="RSCBulletedlist"/>
      </w:pPr>
      <w:r w:rsidRPr="00D72F43">
        <w:t>Small filter paper (e.g. 4.5 cm diameter)</w:t>
      </w:r>
    </w:p>
    <w:p w14:paraId="2F3F3E68" w14:textId="77777777" w:rsidR="00D72F43" w:rsidRPr="00D72F43" w:rsidRDefault="00D72F43" w:rsidP="00D72F43">
      <w:pPr>
        <w:pStyle w:val="RSCBulletedlist"/>
      </w:pPr>
      <w:r w:rsidRPr="00D72F43">
        <w:t>0.25 g aluminium powder (fine or medium)</w:t>
      </w:r>
    </w:p>
    <w:p w14:paraId="2849ED61" w14:textId="77777777" w:rsidR="00D72F43" w:rsidRPr="00D72F43" w:rsidRDefault="00D72F43" w:rsidP="00D72F43">
      <w:pPr>
        <w:pStyle w:val="RSCBulletedlist"/>
      </w:pPr>
      <w:r w:rsidRPr="00D72F43">
        <w:t xml:space="preserve">0.75 g </w:t>
      </w:r>
      <w:proofErr w:type="gramStart"/>
      <w:r w:rsidRPr="00D72F43">
        <w:t>iron(</w:t>
      </w:r>
      <w:proofErr w:type="gramEnd"/>
      <w:r w:rsidRPr="00D459D0">
        <w:rPr>
          <w:smallCaps/>
        </w:rPr>
        <w:t>III</w:t>
      </w:r>
      <w:r w:rsidRPr="00D72F43">
        <w:t>) oxide powder</w:t>
      </w:r>
    </w:p>
    <w:p w14:paraId="372474A9" w14:textId="77777777" w:rsidR="00D72F43" w:rsidRPr="00D72F43" w:rsidRDefault="00D72F43" w:rsidP="00D72F43">
      <w:pPr>
        <w:pStyle w:val="RSCBulletedlist"/>
      </w:pPr>
      <w:r w:rsidRPr="00D72F43">
        <w:t>0.05 g magnesium powder</w:t>
      </w:r>
    </w:p>
    <w:p w14:paraId="0C9C49BF" w14:textId="77777777" w:rsidR="00D72F43" w:rsidRPr="00D72F43" w:rsidRDefault="00D72F43" w:rsidP="00D72F43">
      <w:pPr>
        <w:pStyle w:val="RSCBulletedlist"/>
      </w:pPr>
      <w:r w:rsidRPr="00D72F43">
        <w:t>0.45 g barium nitrate(</w:t>
      </w:r>
      <w:r w:rsidRPr="00D459D0">
        <w:rPr>
          <w:smallCaps/>
        </w:rPr>
        <w:t>V</w:t>
      </w:r>
      <w:r w:rsidRPr="00D72F43">
        <w:t>)</w:t>
      </w:r>
    </w:p>
    <w:p w14:paraId="62C5C966" w14:textId="77777777" w:rsidR="00D72F43" w:rsidRPr="00D72F43" w:rsidRDefault="00D72F43" w:rsidP="00D72F43">
      <w:pPr>
        <w:pStyle w:val="RSCBulletedlist"/>
      </w:pPr>
      <w:r w:rsidRPr="00D72F43">
        <w:t>6 cm magnesium ribbon</w:t>
      </w:r>
    </w:p>
    <w:p w14:paraId="58CC43EA" w14:textId="77777777" w:rsidR="00D72F43" w:rsidRPr="00D72F43" w:rsidRDefault="00D72F43" w:rsidP="00D72F43">
      <w:pPr>
        <w:pStyle w:val="RSCBulletedlist"/>
      </w:pPr>
      <w:r w:rsidRPr="00D72F43">
        <w:t>1 L borosilicate beaker</w:t>
      </w:r>
    </w:p>
    <w:p w14:paraId="2F565D7F" w14:textId="77777777" w:rsidR="00D72F43" w:rsidRPr="00D72F43" w:rsidRDefault="00D72F43" w:rsidP="00D72F43">
      <w:pPr>
        <w:pStyle w:val="RSCBulletedlist"/>
      </w:pPr>
      <w:r w:rsidRPr="00D72F43">
        <w:t>Bunsen burner</w:t>
      </w:r>
    </w:p>
    <w:p w14:paraId="213CF5CE" w14:textId="77777777" w:rsidR="008C2F85" w:rsidRDefault="008C2F85">
      <w:pPr>
        <w:spacing w:after="160" w:line="259" w:lineRule="auto"/>
        <w:jc w:val="left"/>
        <w:outlineLvl w:val="9"/>
        <w:rPr>
          <w:rFonts w:ascii="Century Gothic" w:hAnsi="Century Gothic"/>
          <w:b/>
          <w:bCs/>
          <w:color w:val="8E1055"/>
          <w:sz w:val="28"/>
          <w:szCs w:val="22"/>
          <w:lang w:eastAsia="en-GB"/>
        </w:rPr>
      </w:pPr>
      <w:r>
        <w:rPr>
          <w:color w:val="8E1055"/>
          <w:lang w:eastAsia="en-GB"/>
        </w:rPr>
        <w:br w:type="page"/>
      </w:r>
    </w:p>
    <w:p w14:paraId="4B7FAE82" w14:textId="6ADACB84" w:rsidR="00104CB2" w:rsidRDefault="00D72F43" w:rsidP="00104CB2">
      <w:pPr>
        <w:pStyle w:val="RSCH2"/>
        <w:rPr>
          <w:color w:val="8E1055"/>
          <w:lang w:eastAsia="en-GB"/>
        </w:rPr>
      </w:pPr>
      <w:r>
        <w:rPr>
          <w:noProof/>
        </w:rPr>
        <w:lastRenderedPageBreak/>
        <mc:AlternateContent>
          <mc:Choice Requires="wps">
            <w:drawing>
              <wp:anchor distT="0" distB="0" distL="114300" distR="114300" simplePos="0" relativeHeight="251658242" behindDoc="0" locked="0" layoutInCell="1" allowOverlap="1" wp14:anchorId="4B217F40" wp14:editId="47633F9E">
                <wp:simplePos x="0" y="0"/>
                <wp:positionH relativeFrom="column">
                  <wp:posOffset>847725</wp:posOffset>
                </wp:positionH>
                <wp:positionV relativeFrom="paragraph">
                  <wp:posOffset>3158490</wp:posOffset>
                </wp:positionV>
                <wp:extent cx="4000500" cy="171450"/>
                <wp:effectExtent l="0" t="0" r="0" b="0"/>
                <wp:wrapTopAndBottom/>
                <wp:docPr id="2029602802" name="Text Box 1"/>
                <wp:cNvGraphicFramePr/>
                <a:graphic xmlns:a="http://schemas.openxmlformats.org/drawingml/2006/main">
                  <a:graphicData uri="http://schemas.microsoft.com/office/word/2010/wordprocessingShape">
                    <wps:wsp>
                      <wps:cNvSpPr txBox="1"/>
                      <wps:spPr>
                        <a:xfrm>
                          <a:off x="0" y="0"/>
                          <a:ext cx="4000500" cy="171450"/>
                        </a:xfrm>
                        <a:prstGeom prst="rect">
                          <a:avLst/>
                        </a:prstGeom>
                        <a:solidFill>
                          <a:prstClr val="white"/>
                        </a:solidFill>
                        <a:ln>
                          <a:noFill/>
                        </a:ln>
                      </wps:spPr>
                      <wps:txbx>
                        <w:txbxContent>
                          <w:p w14:paraId="21143DCF" w14:textId="59817A98" w:rsidR="0037292E" w:rsidRDefault="0037292E" w:rsidP="0037292E">
                            <w:pPr>
                              <w:pStyle w:val="Caption"/>
                            </w:pPr>
                            <w:r>
                              <w:t>Figure 1, s</w:t>
                            </w:r>
                            <w:r w:rsidRPr="00074489">
                              <w:t>ource: ©</w:t>
                            </w:r>
                            <w:r>
                              <w:t xml:space="preserve"> </w:t>
                            </w:r>
                            <w:r w:rsidRPr="00074489">
                              <w:t xml:space="preserve">Declan Fleming, created with </w:t>
                            </w:r>
                            <w:proofErr w:type="spellStart"/>
                            <w:r w:rsidRPr="00074489">
                              <w:t>Chemix</w:t>
                            </w:r>
                            <w:proofErr w:type="spellEnd"/>
                            <w:r w:rsidRPr="00074489">
                              <w:t xml:space="preserve"> (</w:t>
                            </w:r>
                            <w:hyperlink r:id="rId11" w:history="1">
                              <w:r w:rsidRPr="00DB0B68">
                                <w:rPr>
                                  <w:rStyle w:val="Hyperlink"/>
                                </w:rPr>
                                <w:t>https://chemix.org</w:t>
                              </w:r>
                            </w:hyperlink>
                            <w:r w:rsidRPr="00074489">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17F40" id="_x0000_t202" coordsize="21600,21600" o:spt="202" path="m,l,21600r21600,l21600,xe">
                <v:stroke joinstyle="miter"/>
                <v:path gradientshapeok="t" o:connecttype="rect"/>
              </v:shapetype>
              <v:shape id="Text Box 1" o:spid="_x0000_s1026" type="#_x0000_t202" style="position:absolute;margin-left:66.75pt;margin-top:248.7pt;width:315pt;height:1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" stroked="f">
                <v:textbox inset="0,0,0,0">
                  <w:txbxContent>
                    <w:p w14:paraId="21143DCF" w14:textId="59817A98" w:rsidR="0037292E" w:rsidRDefault="0037292E" w:rsidP="0037292E">
                      <w:pPr>
                        <w:pStyle w:val="Caption"/>
                      </w:pPr>
                      <w:r>
                        <w:t>Figure 1, s</w:t>
                      </w:r>
                      <w:r w:rsidRPr="00074489">
                        <w:t>ource: ©</w:t>
                      </w:r>
                      <w:r>
                        <w:t xml:space="preserve"> </w:t>
                      </w:r>
                      <w:r w:rsidRPr="00074489">
                        <w:t xml:space="preserve">Declan Fleming, created with </w:t>
                      </w:r>
                      <w:proofErr w:type="spellStart"/>
                      <w:r w:rsidRPr="00074489">
                        <w:t>Chemix</w:t>
                      </w:r>
                      <w:proofErr w:type="spellEnd"/>
                      <w:r w:rsidRPr="00074489">
                        <w:t xml:space="preserve"> (</w:t>
                      </w:r>
                      <w:hyperlink r:id="rId12" w:history="1">
                        <w:r w:rsidRPr="00DB0B68">
                          <w:rPr>
                            <w:rStyle w:val="Hyperlink"/>
                          </w:rPr>
                          <w:t>https://chemix.org</w:t>
                        </w:r>
                      </w:hyperlink>
                      <w:r w:rsidRPr="00074489">
                        <w:t>)</w:t>
                      </w:r>
                    </w:p>
                  </w:txbxContent>
                </v:textbox>
                <w10:wrap type="topAndBottom"/>
              </v:shape>
            </w:pict>
          </mc:Fallback>
        </mc:AlternateContent>
      </w:r>
      <w:r>
        <w:rPr>
          <w:noProof/>
          <w:color w:val="8E1055"/>
          <w:lang w:eastAsia="en-GB"/>
        </w:rPr>
        <w:drawing>
          <wp:anchor distT="0" distB="0" distL="114300" distR="114300" simplePos="0" relativeHeight="251658241" behindDoc="0" locked="0" layoutInCell="1" allowOverlap="1" wp14:anchorId="7143F7EF" wp14:editId="6595DEA2">
            <wp:simplePos x="0" y="0"/>
            <wp:positionH relativeFrom="column">
              <wp:posOffset>800100</wp:posOffset>
            </wp:positionH>
            <wp:positionV relativeFrom="paragraph">
              <wp:posOffset>377190</wp:posOffset>
            </wp:positionV>
            <wp:extent cx="3803015" cy="2771775"/>
            <wp:effectExtent l="0" t="0" r="6985" b="9525"/>
            <wp:wrapTopAndBottom/>
            <wp:docPr id="1671598466" name="Picture 2" descr="Diagram illustrating a setup for igniting a thermite reaction, showing a can filled with sand holding a cone of filter paper containing thermite mix and ignition m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98466" name="Picture 2" descr="Diagram illustrating a setup for igniting a thermite reaction, showing a can filled with sand holding a cone of filter paper containing thermite mix and ignition mix."/>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03015" cy="2771775"/>
                    </a:xfrm>
                    <a:prstGeom prst="rect">
                      <a:avLst/>
                    </a:prstGeom>
                  </pic:spPr>
                </pic:pic>
              </a:graphicData>
            </a:graphic>
            <wp14:sizeRelH relativeFrom="margin">
              <wp14:pctWidth>0</wp14:pctWidth>
            </wp14:sizeRelH>
            <wp14:sizeRelV relativeFrom="margin">
              <wp14:pctHeight>0</wp14:pctHeight>
            </wp14:sizeRelV>
          </wp:anchor>
        </w:drawing>
      </w:r>
      <w:r w:rsidR="008C2F85">
        <w:rPr>
          <w:color w:val="8E1055"/>
          <w:lang w:eastAsia="en-GB"/>
        </w:rPr>
        <w:t>Preparation</w:t>
      </w:r>
    </w:p>
    <w:p w14:paraId="1FA91076" w14:textId="77777777" w:rsidR="00752627" w:rsidRDefault="00752627" w:rsidP="00752627">
      <w:pPr>
        <w:pStyle w:val="RSCBasictext"/>
        <w:rPr>
          <w:lang w:eastAsia="en-GB"/>
        </w:rPr>
      </w:pPr>
    </w:p>
    <w:p w14:paraId="42455E2A" w14:textId="64AB6E08" w:rsidR="00752627" w:rsidRPr="00752627" w:rsidRDefault="00752627" w:rsidP="00752627">
      <w:pPr>
        <w:pStyle w:val="RSCBasictext"/>
        <w:rPr>
          <w:lang w:eastAsia="en-GB"/>
        </w:rPr>
      </w:pPr>
      <w:r w:rsidRPr="00752627">
        <w:rPr>
          <w:lang w:eastAsia="en-GB"/>
        </w:rPr>
        <w:t>Clear the desk of combustibles and use heatproof mats (or a piece of hardboard) to cover the bench. Fill the tin with sand to about 3 cm depth. Place it on a mat. Fold the filter paper to make a cone and trim the end to make a hole just wide enough for a piece of magnesium ribbon to fit through. Stick the cone into the sand.</w:t>
      </w:r>
    </w:p>
    <w:p w14:paraId="7A3A45D9" w14:textId="77777777" w:rsidR="00752627" w:rsidRPr="00752627" w:rsidRDefault="00752627" w:rsidP="00752627">
      <w:pPr>
        <w:pStyle w:val="RSCBasictext"/>
        <w:rPr>
          <w:lang w:eastAsia="en-GB"/>
        </w:rPr>
      </w:pPr>
      <w:r w:rsidRPr="00752627">
        <w:rPr>
          <w:lang w:eastAsia="en-GB"/>
        </w:rPr>
        <w:t xml:space="preserve">Make 1 g of thermite powder by combining 0.25 g of aluminium powder with 0.75 g of </w:t>
      </w:r>
      <w:proofErr w:type="gramStart"/>
      <w:r w:rsidRPr="00752627">
        <w:rPr>
          <w:lang w:eastAsia="en-GB"/>
        </w:rPr>
        <w:t>iron(</w:t>
      </w:r>
      <w:proofErr w:type="gramEnd"/>
      <w:r w:rsidRPr="00752627">
        <w:rPr>
          <w:lang w:eastAsia="en-GB"/>
        </w:rPr>
        <w:t>III) oxide. Make no more than 0.5 g of ignition powder by mixing 0.45 g of barium nitrate(V) with 0.05 g magnesium powder. When weighing the powders, avoid flames, raising dust and skin contact. Never stir the mixtures. Create mixtures by carefully transferring the powders from one filter paper to another and back again. The ignition mixture is particularly sensitive to friction and impact. Make fresh powder mixtures for each demonstration.</w:t>
      </w:r>
    </w:p>
    <w:p w14:paraId="289698CF" w14:textId="77777777" w:rsidR="00752627" w:rsidRPr="00752627" w:rsidRDefault="00752627" w:rsidP="00752627">
      <w:pPr>
        <w:pStyle w:val="RSCBasictext"/>
        <w:rPr>
          <w:lang w:eastAsia="en-GB"/>
        </w:rPr>
      </w:pPr>
      <w:r w:rsidRPr="00752627">
        <w:rPr>
          <w:lang w:eastAsia="en-GB"/>
        </w:rPr>
        <w:t>Pour the thermite mixture into the filter paper cone. Make a small depression in the top of the thermite mixture for the ignition mixture and pour this on. Cut 6 cm of magnesium ribbon and feather one end by cutting slits into it.</w:t>
      </w:r>
    </w:p>
    <w:p w14:paraId="77C20EF5" w14:textId="1DFB3061" w:rsidR="00912831" w:rsidRDefault="00912831" w:rsidP="00912831">
      <w:pPr>
        <w:pStyle w:val="RSCH2"/>
        <w:rPr>
          <w:lang w:eastAsia="en-GB"/>
        </w:rPr>
      </w:pPr>
      <w:r w:rsidRPr="00912831">
        <w:rPr>
          <w:color w:val="991E66" w:themeColor="accent1"/>
          <w:lang w:eastAsia="en-GB"/>
        </w:rPr>
        <w:t>In front of the class</w:t>
      </w:r>
    </w:p>
    <w:p w14:paraId="6CE529F1" w14:textId="77777777" w:rsidR="00277EDA" w:rsidRPr="00277EDA" w:rsidRDefault="00277EDA" w:rsidP="00277EDA">
      <w:pPr>
        <w:pStyle w:val="RSCBasictext"/>
        <w:rPr>
          <w:lang w:eastAsia="en-GB"/>
        </w:rPr>
      </w:pPr>
      <w:r w:rsidRPr="00277EDA">
        <w:rPr>
          <w:lang w:eastAsia="en-GB"/>
        </w:rPr>
        <w:t>Position the learners 4 m away and ensure they’re wearing eye protection and protected by a safety screen. Instruct students not to look directly at the reaction, except through a passive welding filter, shade 9.</w:t>
      </w:r>
    </w:p>
    <w:p w14:paraId="2E86FA5D" w14:textId="77777777" w:rsidR="00277EDA" w:rsidRPr="00277EDA" w:rsidRDefault="00277EDA" w:rsidP="00277EDA">
      <w:pPr>
        <w:pStyle w:val="RSCBasictext"/>
        <w:rPr>
          <w:lang w:eastAsia="en-GB"/>
        </w:rPr>
      </w:pPr>
      <w:r w:rsidRPr="00277EDA">
        <w:rPr>
          <w:lang w:eastAsia="en-GB"/>
        </w:rPr>
        <w:t xml:space="preserve">Push the </w:t>
      </w:r>
      <w:proofErr w:type="spellStart"/>
      <w:r w:rsidRPr="00277EDA">
        <w:rPr>
          <w:lang w:eastAsia="en-GB"/>
        </w:rPr>
        <w:t>unfeathered</w:t>
      </w:r>
      <w:proofErr w:type="spellEnd"/>
      <w:r w:rsidRPr="00277EDA">
        <w:rPr>
          <w:lang w:eastAsia="en-GB"/>
        </w:rPr>
        <w:t xml:space="preserve"> end of the magnesium ribbon fuse through the ignition mixture, thermite mixture, filter paper and sand to touch the base of the can. Ensure there is good contact between the fuse and the powders.</w:t>
      </w:r>
    </w:p>
    <w:p w14:paraId="0B3F8659" w14:textId="77777777" w:rsidR="00277EDA" w:rsidRPr="00277EDA" w:rsidRDefault="00277EDA" w:rsidP="00277EDA">
      <w:pPr>
        <w:pStyle w:val="RSCBasictext"/>
        <w:rPr>
          <w:lang w:eastAsia="en-GB"/>
        </w:rPr>
      </w:pPr>
      <w:r w:rsidRPr="00277EDA">
        <w:rPr>
          <w:lang w:eastAsia="en-GB"/>
        </w:rPr>
        <w:t>Hold the 1 L beaker in one hand and a lit Bunsen in the other. Light the magnesium ribbon, cover the equipment with the beaker and stand back.</w:t>
      </w:r>
    </w:p>
    <w:p w14:paraId="55659043" w14:textId="77777777" w:rsidR="00277EDA" w:rsidRDefault="00277EDA" w:rsidP="00912831">
      <w:pPr>
        <w:pStyle w:val="RSCBasictext"/>
        <w:rPr>
          <w:lang w:eastAsia="en-GB"/>
        </w:rPr>
      </w:pPr>
    </w:p>
    <w:p w14:paraId="0A686DCF" w14:textId="737E7543" w:rsidR="00752627" w:rsidRDefault="001D70A7" w:rsidP="00912831">
      <w:pPr>
        <w:pStyle w:val="RSCBasictext"/>
        <w:rPr>
          <w:lang w:eastAsia="en-GB"/>
        </w:rPr>
      </w:pPr>
      <w:r w:rsidRPr="001D70A7">
        <w:rPr>
          <w:lang w:eastAsia="en-GB"/>
        </w:rPr>
        <w:t>When the fuse hits the ignition mix, a bright flash follows and the reaction glows white hot. If the mixture does not light first time, wait a few minutes in case of a delayed reaction before disposing of it. CLEAPSS members can consult </w:t>
      </w:r>
      <w:hyperlink r:id="rId14" w:history="1">
        <w:r w:rsidRPr="001D70A7">
          <w:rPr>
            <w:rStyle w:val="Hyperlink"/>
            <w:lang w:eastAsia="en-GB"/>
          </w:rPr>
          <w:t>L195</w:t>
        </w:r>
      </w:hyperlink>
      <w:r w:rsidRPr="001D70A7">
        <w:rPr>
          <w:lang w:eastAsia="en-GB"/>
        </w:rPr>
        <w:t> which outlines potential fixes for reactions that do not work</w:t>
      </w:r>
      <w:r>
        <w:rPr>
          <w:lang w:eastAsia="en-GB"/>
        </w:rPr>
        <w:t xml:space="preserve"> </w:t>
      </w:r>
      <w:r w:rsidRPr="001D70A7">
        <w:rPr>
          <w:lang w:eastAsia="en-GB"/>
        </w:rPr>
        <w:t>(bit.ly/4dbHgt3). Once the reaction has cooled, remove the beaker and collect the iron with a magnet.</w:t>
      </w:r>
    </w:p>
    <w:p w14:paraId="09FBE086" w14:textId="0B879CD4" w:rsidR="00912831" w:rsidRPr="00912831" w:rsidRDefault="00912831" w:rsidP="00912831">
      <w:pPr>
        <w:pStyle w:val="RSCH2"/>
        <w:rPr>
          <w:color w:val="991E66" w:themeColor="accent1"/>
          <w:lang w:eastAsia="en-GB"/>
        </w:rPr>
      </w:pPr>
      <w:r w:rsidRPr="00912831">
        <w:rPr>
          <w:color w:val="991E66" w:themeColor="accent1"/>
          <w:lang w:eastAsia="en-GB"/>
        </w:rPr>
        <w:t>Teaching goal</w:t>
      </w:r>
    </w:p>
    <w:p w14:paraId="4A40D89D" w14:textId="08267529" w:rsidR="00957291" w:rsidRDefault="001C5890" w:rsidP="00CA7FA9">
      <w:pPr>
        <w:pStyle w:val="RSCBasictext"/>
        <w:rPr>
          <w:iCs/>
          <w:lang w:eastAsia="en-GB"/>
        </w:rPr>
      </w:pPr>
      <w:r w:rsidRPr="00DB18D5">
        <w:rPr>
          <w:iCs/>
          <w:lang w:eastAsia="en-GB"/>
        </w:rPr>
        <w:t>Although the thermite reaction is commonly demonstrated to learners aged 14–16, it’s also worth returning to it at post-16 level because it has a very accessible enthalpy of reaction calculation.</w:t>
      </w:r>
    </w:p>
    <w:p w14:paraId="0F5375C2" w14:textId="77777777" w:rsidR="00D459D0" w:rsidRPr="00D459D0" w:rsidRDefault="00D459D0" w:rsidP="00CA7FA9">
      <w:pPr>
        <w:pStyle w:val="RSCBasictext"/>
        <w:rPr>
          <w:iCs/>
          <w:lang w:eastAsia="en-GB"/>
        </w:rPr>
      </w:pPr>
    </w:p>
    <w:tbl>
      <w:tblPr>
        <w:tblStyle w:val="TableGrid1"/>
        <w:tblW w:w="0" w:type="auto"/>
        <w:jc w:val="center"/>
        <w:tblLook w:val="04A0" w:firstRow="1" w:lastRow="0" w:firstColumn="1" w:lastColumn="0" w:noHBand="0" w:noVBand="1"/>
      </w:tblPr>
      <w:tblGrid>
        <w:gridCol w:w="1701"/>
        <w:gridCol w:w="1701"/>
      </w:tblGrid>
      <w:tr w:rsidR="009C0A41" w:rsidRPr="009C0A41" w14:paraId="364A1A7D" w14:textId="77777777" w:rsidTr="002B0C58">
        <w:trPr>
          <w:jc w:val="center"/>
        </w:trPr>
        <w:tc>
          <w:tcPr>
            <w:tcW w:w="1701" w:type="dxa"/>
          </w:tcPr>
          <w:p w14:paraId="25E18EBA" w14:textId="77777777" w:rsidR="009C0A41" w:rsidRPr="009C0A41" w:rsidRDefault="009C0A41" w:rsidP="009C0A41">
            <w:pPr>
              <w:spacing w:after="0" w:line="240" w:lineRule="auto"/>
              <w:jc w:val="center"/>
              <w:outlineLvl w:val="9"/>
              <w:rPr>
                <w:rFonts w:ascii="Aptos" w:eastAsia="Aptos" w:hAnsi="Aptos" w:cs="Times New Roman"/>
                <w:sz w:val="24"/>
                <w:szCs w:val="24"/>
                <w:lang w:eastAsia="en-US"/>
              </w:rPr>
            </w:pPr>
            <w:r w:rsidRPr="009C0A41">
              <w:rPr>
                <w:rFonts w:ascii="Aptos" w:eastAsia="Aptos" w:hAnsi="Aptos" w:cs="Times New Roman"/>
                <w:sz w:val="24"/>
                <w:szCs w:val="24"/>
                <w:lang w:eastAsia="en-US"/>
              </w:rPr>
              <w:t>Compound</w:t>
            </w:r>
          </w:p>
        </w:tc>
        <w:tc>
          <w:tcPr>
            <w:tcW w:w="1701" w:type="dxa"/>
          </w:tcPr>
          <w:p w14:paraId="592D34A9" w14:textId="77777777" w:rsidR="009C0A41" w:rsidRPr="009C0A41" w:rsidRDefault="009C0A41" w:rsidP="009C0A41">
            <w:pPr>
              <w:spacing w:after="0" w:line="240" w:lineRule="auto"/>
              <w:jc w:val="center"/>
              <w:outlineLvl w:val="9"/>
              <w:rPr>
                <w:rFonts w:ascii="Aptos" w:eastAsia="Aptos" w:hAnsi="Aptos" w:cs="Times New Roman"/>
                <w:sz w:val="24"/>
                <w:szCs w:val="24"/>
                <w:lang w:eastAsia="en-US"/>
              </w:rPr>
            </w:pPr>
            <w:r w:rsidRPr="009C0A41">
              <w:rPr>
                <w:rFonts w:ascii="Aptos" w:eastAsia="Aptos" w:hAnsi="Aptos" w:cs="Times New Roman"/>
                <w:sz w:val="24"/>
                <w:szCs w:val="24"/>
                <w:lang w:eastAsia="en-US"/>
              </w:rPr>
              <w:t>∆H</w:t>
            </w:r>
            <w:r w:rsidRPr="009C0A41">
              <w:rPr>
                <w:rFonts w:ascii="Aptos" w:eastAsia="Aptos" w:hAnsi="Aptos" w:cs="Times New Roman"/>
                <w:sz w:val="24"/>
                <w:szCs w:val="24"/>
                <w:vertAlign w:val="subscript"/>
                <w:lang w:eastAsia="en-US"/>
              </w:rPr>
              <w:t>f</w:t>
            </w:r>
            <w:r w:rsidRPr="009C0A41">
              <w:rPr>
                <w:rFonts w:ascii="Aptos" w:eastAsia="Aptos" w:hAnsi="Aptos" w:cs="Times New Roman"/>
                <w:sz w:val="24"/>
                <w:szCs w:val="24"/>
                <w:lang w:eastAsia="en-US"/>
              </w:rPr>
              <w:t xml:space="preserve"> (kJ mol</w:t>
            </w:r>
            <w:r w:rsidRPr="009C0A41">
              <w:rPr>
                <w:rFonts w:ascii="Aptos" w:eastAsia="Aptos" w:hAnsi="Aptos" w:cs="Times New Roman"/>
                <w:sz w:val="24"/>
                <w:szCs w:val="24"/>
                <w:vertAlign w:val="superscript"/>
                <w:lang w:eastAsia="en-US"/>
              </w:rPr>
              <w:t>-1</w:t>
            </w:r>
            <w:r w:rsidRPr="009C0A41">
              <w:rPr>
                <w:rFonts w:ascii="Aptos" w:eastAsia="Aptos" w:hAnsi="Aptos" w:cs="Times New Roman"/>
                <w:sz w:val="24"/>
                <w:szCs w:val="24"/>
                <w:lang w:eastAsia="en-US"/>
              </w:rPr>
              <w:t>)</w:t>
            </w:r>
          </w:p>
        </w:tc>
      </w:tr>
      <w:tr w:rsidR="009C0A41" w:rsidRPr="009C0A41" w14:paraId="55FE57C2" w14:textId="77777777" w:rsidTr="002B0C58">
        <w:trPr>
          <w:jc w:val="center"/>
        </w:trPr>
        <w:tc>
          <w:tcPr>
            <w:tcW w:w="1701" w:type="dxa"/>
          </w:tcPr>
          <w:p w14:paraId="53E6FC89" w14:textId="77777777" w:rsidR="009C0A41" w:rsidRPr="009C0A41" w:rsidRDefault="009C0A41" w:rsidP="009C0A41">
            <w:pPr>
              <w:spacing w:after="0" w:line="240" w:lineRule="auto"/>
              <w:jc w:val="center"/>
              <w:outlineLvl w:val="9"/>
              <w:rPr>
                <w:rFonts w:ascii="Aptos" w:eastAsia="Aptos" w:hAnsi="Aptos" w:cs="Times New Roman"/>
                <w:sz w:val="24"/>
                <w:szCs w:val="24"/>
                <w:lang w:eastAsia="en-US"/>
              </w:rPr>
            </w:pPr>
            <w:r w:rsidRPr="009C0A41">
              <w:rPr>
                <w:rFonts w:ascii="Aptos" w:eastAsia="Aptos" w:hAnsi="Aptos" w:cs="Times New Roman"/>
                <w:sz w:val="24"/>
                <w:szCs w:val="24"/>
                <w:lang w:eastAsia="en-US"/>
              </w:rPr>
              <w:t>Fe</w:t>
            </w:r>
            <w:r w:rsidRPr="009C0A41">
              <w:rPr>
                <w:rFonts w:ascii="Aptos" w:eastAsia="Aptos" w:hAnsi="Aptos" w:cs="Times New Roman"/>
                <w:sz w:val="24"/>
                <w:szCs w:val="24"/>
                <w:vertAlign w:val="subscript"/>
                <w:lang w:eastAsia="en-US"/>
              </w:rPr>
              <w:t>2</w:t>
            </w:r>
            <w:r w:rsidRPr="009C0A41">
              <w:rPr>
                <w:rFonts w:ascii="Aptos" w:eastAsia="Aptos" w:hAnsi="Aptos" w:cs="Times New Roman"/>
                <w:sz w:val="24"/>
                <w:szCs w:val="24"/>
                <w:lang w:eastAsia="en-US"/>
              </w:rPr>
              <w:t>O</w:t>
            </w:r>
            <w:r w:rsidRPr="009C0A41">
              <w:rPr>
                <w:rFonts w:ascii="Aptos" w:eastAsia="Aptos" w:hAnsi="Aptos" w:cs="Times New Roman"/>
                <w:sz w:val="24"/>
                <w:szCs w:val="24"/>
                <w:vertAlign w:val="subscript"/>
                <w:lang w:eastAsia="en-US"/>
              </w:rPr>
              <w:t>3</w:t>
            </w:r>
          </w:p>
        </w:tc>
        <w:tc>
          <w:tcPr>
            <w:tcW w:w="1701" w:type="dxa"/>
          </w:tcPr>
          <w:p w14:paraId="5F72E66A" w14:textId="77777777" w:rsidR="009C0A41" w:rsidRPr="009C0A41" w:rsidRDefault="009C0A41" w:rsidP="009C0A41">
            <w:pPr>
              <w:spacing w:after="0" w:line="240" w:lineRule="auto"/>
              <w:jc w:val="center"/>
              <w:outlineLvl w:val="9"/>
              <w:rPr>
                <w:rFonts w:ascii="Aptos" w:eastAsia="Aptos" w:hAnsi="Aptos" w:cs="Times New Roman"/>
                <w:sz w:val="24"/>
                <w:szCs w:val="24"/>
                <w:lang w:eastAsia="en-US"/>
              </w:rPr>
            </w:pPr>
            <w:r w:rsidRPr="009C0A41">
              <w:rPr>
                <w:rFonts w:ascii="Aptos" w:eastAsia="Aptos" w:hAnsi="Aptos" w:cs="Times New Roman"/>
                <w:sz w:val="24"/>
                <w:szCs w:val="24"/>
                <w:lang w:eastAsia="en-US"/>
              </w:rPr>
              <w:t>–825.50</w:t>
            </w:r>
          </w:p>
        </w:tc>
      </w:tr>
      <w:tr w:rsidR="009C0A41" w:rsidRPr="009C0A41" w14:paraId="6FF14BA2" w14:textId="77777777" w:rsidTr="002B0C58">
        <w:trPr>
          <w:jc w:val="center"/>
        </w:trPr>
        <w:tc>
          <w:tcPr>
            <w:tcW w:w="1701" w:type="dxa"/>
          </w:tcPr>
          <w:p w14:paraId="197992DB" w14:textId="77777777" w:rsidR="009C0A41" w:rsidRPr="009C0A41" w:rsidRDefault="009C0A41" w:rsidP="009C0A41">
            <w:pPr>
              <w:spacing w:after="0" w:line="240" w:lineRule="auto"/>
              <w:jc w:val="center"/>
              <w:outlineLvl w:val="9"/>
              <w:rPr>
                <w:rFonts w:ascii="Aptos" w:eastAsia="Aptos" w:hAnsi="Aptos" w:cs="Times New Roman"/>
                <w:sz w:val="24"/>
                <w:szCs w:val="24"/>
                <w:lang w:eastAsia="en-US"/>
              </w:rPr>
            </w:pPr>
            <w:r w:rsidRPr="009C0A41">
              <w:rPr>
                <w:rFonts w:ascii="Aptos" w:eastAsia="Aptos" w:hAnsi="Aptos" w:cs="Times New Roman"/>
                <w:sz w:val="24"/>
                <w:szCs w:val="24"/>
                <w:lang w:eastAsia="en-US"/>
              </w:rPr>
              <w:t>Al</w:t>
            </w:r>
            <w:r w:rsidRPr="009C0A41">
              <w:rPr>
                <w:rFonts w:ascii="Aptos" w:eastAsia="Aptos" w:hAnsi="Aptos" w:cs="Times New Roman"/>
                <w:sz w:val="24"/>
                <w:szCs w:val="24"/>
                <w:vertAlign w:val="subscript"/>
                <w:lang w:eastAsia="en-US"/>
              </w:rPr>
              <w:t>2</w:t>
            </w:r>
            <w:r w:rsidRPr="009C0A41">
              <w:rPr>
                <w:rFonts w:ascii="Aptos" w:eastAsia="Aptos" w:hAnsi="Aptos" w:cs="Times New Roman"/>
                <w:sz w:val="24"/>
                <w:szCs w:val="24"/>
                <w:lang w:eastAsia="en-US"/>
              </w:rPr>
              <w:t>O</w:t>
            </w:r>
            <w:r w:rsidRPr="009C0A41">
              <w:rPr>
                <w:rFonts w:ascii="Aptos" w:eastAsia="Aptos" w:hAnsi="Aptos" w:cs="Times New Roman"/>
                <w:sz w:val="24"/>
                <w:szCs w:val="24"/>
                <w:vertAlign w:val="subscript"/>
                <w:lang w:eastAsia="en-US"/>
              </w:rPr>
              <w:t>3</w:t>
            </w:r>
          </w:p>
        </w:tc>
        <w:tc>
          <w:tcPr>
            <w:tcW w:w="1701" w:type="dxa"/>
          </w:tcPr>
          <w:p w14:paraId="6803AC2E" w14:textId="5ED7C003" w:rsidR="009C0A41" w:rsidRPr="009C0A41" w:rsidRDefault="009C0A41" w:rsidP="009C0A41">
            <w:pPr>
              <w:spacing w:after="0" w:line="240" w:lineRule="auto"/>
              <w:jc w:val="center"/>
              <w:outlineLvl w:val="9"/>
              <w:rPr>
                <w:rFonts w:ascii="Aptos" w:eastAsia="Aptos" w:hAnsi="Aptos" w:cs="Times New Roman"/>
                <w:sz w:val="24"/>
                <w:szCs w:val="24"/>
                <w:lang w:eastAsia="en-US"/>
              </w:rPr>
            </w:pPr>
            <w:r w:rsidRPr="009C0A41">
              <w:rPr>
                <w:rFonts w:ascii="Aptos" w:eastAsia="Aptos" w:hAnsi="Aptos" w:cs="Times New Roman"/>
                <w:sz w:val="24"/>
                <w:szCs w:val="24"/>
                <w:lang w:eastAsia="en-US"/>
              </w:rPr>
              <w:t>–675.7</w:t>
            </w:r>
          </w:p>
        </w:tc>
      </w:tr>
    </w:tbl>
    <w:p w14:paraId="58CC4DFE" w14:textId="77777777" w:rsidR="00D459D0" w:rsidRDefault="00D459D0" w:rsidP="00957291">
      <w:pPr>
        <w:spacing w:after="160" w:line="259" w:lineRule="auto"/>
        <w:jc w:val="left"/>
        <w:outlineLvl w:val="9"/>
        <w:rPr>
          <w:rFonts w:ascii="Century Gothic" w:hAnsi="Century Gothic"/>
          <w:sz w:val="22"/>
          <w:szCs w:val="22"/>
          <w:lang w:eastAsia="en-GB"/>
        </w:rPr>
      </w:pPr>
    </w:p>
    <w:p w14:paraId="22CEEB41" w14:textId="745AC1DE" w:rsidR="002B40B1" w:rsidRPr="00D459D0" w:rsidRDefault="00AE25B1" w:rsidP="00957291">
      <w:pPr>
        <w:spacing w:after="160" w:line="259" w:lineRule="auto"/>
        <w:jc w:val="left"/>
        <w:outlineLvl w:val="9"/>
        <w:rPr>
          <w:rFonts w:ascii="Century Gothic" w:hAnsi="Century Gothic"/>
          <w:sz w:val="22"/>
          <w:szCs w:val="22"/>
          <w:lang w:eastAsia="en-GB"/>
        </w:rPr>
      </w:pPr>
      <w:r w:rsidRPr="00AE25B1">
        <w:rPr>
          <w:rFonts w:ascii="Century Gothic" w:hAnsi="Century Gothic"/>
          <w:sz w:val="22"/>
          <w:szCs w:val="22"/>
          <w:lang w:eastAsia="en-GB"/>
        </w:rPr>
        <w:t>The thermite reaction has an enthalpy of reaction of about –850 kJ mol</w:t>
      </w:r>
      <w:r w:rsidRPr="00AE25B1">
        <w:rPr>
          <w:rFonts w:ascii="Century Gothic" w:hAnsi="Century Gothic"/>
          <w:sz w:val="22"/>
          <w:szCs w:val="22"/>
          <w:vertAlign w:val="superscript"/>
          <w:lang w:eastAsia="en-GB"/>
        </w:rPr>
        <w:t>-1</w:t>
      </w:r>
      <w:r w:rsidRPr="00AE25B1">
        <w:rPr>
          <w:rFonts w:ascii="Century Gothic" w:hAnsi="Century Gothic"/>
          <w:sz w:val="22"/>
          <w:szCs w:val="22"/>
          <w:lang w:eastAsia="en-GB"/>
        </w:rPr>
        <w:t>. How does this compare with other reactions? Does the drama of the reaction reflect a particularly large change in enthalpy?</w:t>
      </w:r>
    </w:p>
    <w:tbl>
      <w:tblPr>
        <w:tblStyle w:val="TableGrid2"/>
        <w:tblW w:w="0" w:type="auto"/>
        <w:tblLook w:val="04A0" w:firstRow="1" w:lastRow="0" w:firstColumn="1" w:lastColumn="0" w:noHBand="0" w:noVBand="1"/>
      </w:tblPr>
      <w:tblGrid>
        <w:gridCol w:w="1549"/>
        <w:gridCol w:w="827"/>
        <w:gridCol w:w="1912"/>
        <w:gridCol w:w="2426"/>
        <w:gridCol w:w="2302"/>
      </w:tblGrid>
      <w:tr w:rsidR="002B40B1" w:rsidRPr="002B40B1" w14:paraId="3626915D" w14:textId="77777777" w:rsidTr="002B40B1">
        <w:tc>
          <w:tcPr>
            <w:tcW w:w="1555" w:type="dxa"/>
            <w:vAlign w:val="center"/>
          </w:tcPr>
          <w:p w14:paraId="57396A78" w14:textId="77777777" w:rsidR="002B40B1" w:rsidRPr="002B40B1" w:rsidRDefault="002B40B1" w:rsidP="002B40B1">
            <w:pPr>
              <w:spacing w:after="0" w:line="240" w:lineRule="auto"/>
              <w:jc w:val="center"/>
              <w:outlineLvl w:val="9"/>
              <w:rPr>
                <w:rFonts w:ascii="Aptos" w:eastAsia="Aptos" w:hAnsi="Aptos" w:cs="Times New Roman"/>
                <w:sz w:val="24"/>
                <w:szCs w:val="24"/>
                <w:lang w:eastAsia="en-US"/>
              </w:rPr>
            </w:pPr>
            <w:r w:rsidRPr="002B40B1">
              <w:rPr>
                <w:rFonts w:ascii="Aptos" w:eastAsia="Aptos" w:hAnsi="Aptos" w:cs="Times New Roman"/>
                <w:sz w:val="24"/>
                <w:szCs w:val="24"/>
                <w:lang w:eastAsia="en-US"/>
              </w:rPr>
              <w:t>Reaction</w:t>
            </w:r>
          </w:p>
        </w:tc>
        <w:tc>
          <w:tcPr>
            <w:tcW w:w="850" w:type="dxa"/>
            <w:vAlign w:val="center"/>
          </w:tcPr>
          <w:p w14:paraId="50B656FC" w14:textId="77777777" w:rsidR="002B40B1" w:rsidRPr="002B40B1" w:rsidRDefault="002B40B1" w:rsidP="002B40B1">
            <w:pPr>
              <w:spacing w:after="0" w:line="240" w:lineRule="auto"/>
              <w:jc w:val="center"/>
              <w:outlineLvl w:val="9"/>
              <w:rPr>
                <w:rFonts w:ascii="Aptos" w:eastAsia="Aptos" w:hAnsi="Aptos" w:cs="Times New Roman"/>
                <w:sz w:val="24"/>
                <w:szCs w:val="24"/>
                <w:lang w:eastAsia="en-US"/>
              </w:rPr>
            </w:pPr>
            <w:r w:rsidRPr="002B40B1">
              <w:rPr>
                <w:rFonts w:ascii="Aptos" w:eastAsia="Aptos" w:hAnsi="Aptos" w:cs="Times New Roman"/>
                <w:sz w:val="24"/>
                <w:szCs w:val="24"/>
                <w:lang w:eastAsia="en-US"/>
              </w:rPr>
              <w:t>∆H</w:t>
            </w:r>
            <w:r w:rsidRPr="002B40B1">
              <w:rPr>
                <w:rFonts w:ascii="Aptos" w:eastAsia="Aptos" w:hAnsi="Aptos" w:cs="Times New Roman"/>
                <w:sz w:val="24"/>
                <w:szCs w:val="24"/>
                <w:vertAlign w:val="subscript"/>
                <w:lang w:eastAsia="en-US"/>
              </w:rPr>
              <w:t>r</w:t>
            </w:r>
          </w:p>
          <w:p w14:paraId="7E33CFC5" w14:textId="77777777" w:rsidR="002B40B1" w:rsidRPr="002B40B1" w:rsidRDefault="002B40B1" w:rsidP="002B40B1">
            <w:pPr>
              <w:spacing w:after="0" w:line="240" w:lineRule="auto"/>
              <w:jc w:val="center"/>
              <w:outlineLvl w:val="9"/>
              <w:rPr>
                <w:rFonts w:ascii="Aptos" w:eastAsia="Aptos" w:hAnsi="Aptos" w:cs="Times New Roman"/>
                <w:sz w:val="12"/>
                <w:szCs w:val="12"/>
                <w:lang w:eastAsia="en-US"/>
              </w:rPr>
            </w:pPr>
            <w:r w:rsidRPr="002B40B1">
              <w:rPr>
                <w:rFonts w:ascii="Aptos" w:eastAsia="Aptos" w:hAnsi="Aptos" w:cs="Times New Roman"/>
                <w:sz w:val="12"/>
                <w:szCs w:val="12"/>
                <w:lang w:eastAsia="en-US"/>
              </w:rPr>
              <w:t>(kJ mol</w:t>
            </w:r>
            <w:r w:rsidRPr="002B40B1">
              <w:rPr>
                <w:rFonts w:ascii="Aptos" w:eastAsia="Aptos" w:hAnsi="Aptos" w:cs="Times New Roman"/>
                <w:sz w:val="12"/>
                <w:szCs w:val="12"/>
                <w:vertAlign w:val="superscript"/>
                <w:lang w:eastAsia="en-US"/>
              </w:rPr>
              <w:t>-1</w:t>
            </w:r>
            <w:r w:rsidRPr="002B40B1">
              <w:rPr>
                <w:rFonts w:ascii="Aptos" w:eastAsia="Aptos" w:hAnsi="Aptos" w:cs="Times New Roman"/>
                <w:sz w:val="12"/>
                <w:szCs w:val="12"/>
                <w:lang w:eastAsia="en-US"/>
              </w:rPr>
              <w:t>)</w:t>
            </w:r>
          </w:p>
        </w:tc>
        <w:tc>
          <w:tcPr>
            <w:tcW w:w="1985" w:type="dxa"/>
            <w:vAlign w:val="center"/>
          </w:tcPr>
          <w:p w14:paraId="24B6AAAF" w14:textId="77777777" w:rsidR="002B40B1" w:rsidRPr="002B40B1" w:rsidRDefault="002B40B1" w:rsidP="002B40B1">
            <w:pPr>
              <w:spacing w:after="0" w:line="240" w:lineRule="auto"/>
              <w:jc w:val="center"/>
              <w:outlineLvl w:val="9"/>
              <w:rPr>
                <w:rFonts w:ascii="Aptos" w:eastAsia="Aptos" w:hAnsi="Aptos" w:cs="Times New Roman"/>
                <w:sz w:val="24"/>
                <w:szCs w:val="24"/>
                <w:lang w:eastAsia="en-US"/>
              </w:rPr>
            </w:pPr>
            <w:r w:rsidRPr="002B40B1">
              <w:rPr>
                <w:rFonts w:ascii="Aptos" w:eastAsia="Aptos" w:hAnsi="Aptos" w:cs="Times New Roman"/>
                <w:sz w:val="24"/>
                <w:szCs w:val="24"/>
                <w:lang w:eastAsia="en-US"/>
              </w:rPr>
              <w:t>Balanced equation</w:t>
            </w:r>
          </w:p>
        </w:tc>
        <w:tc>
          <w:tcPr>
            <w:tcW w:w="2551" w:type="dxa"/>
            <w:vAlign w:val="center"/>
          </w:tcPr>
          <w:p w14:paraId="0EBEC7A1" w14:textId="77777777" w:rsidR="002B40B1" w:rsidRPr="002B40B1" w:rsidRDefault="002B40B1" w:rsidP="002B40B1">
            <w:pPr>
              <w:spacing w:after="0" w:line="240" w:lineRule="auto"/>
              <w:jc w:val="center"/>
              <w:outlineLvl w:val="9"/>
              <w:rPr>
                <w:rFonts w:ascii="Aptos" w:eastAsia="Aptos" w:hAnsi="Aptos" w:cs="Times New Roman"/>
                <w:sz w:val="24"/>
                <w:szCs w:val="24"/>
                <w:lang w:eastAsia="en-US"/>
              </w:rPr>
            </w:pPr>
            <w:r w:rsidRPr="002B40B1">
              <w:rPr>
                <w:rFonts w:ascii="Aptos" w:eastAsia="Aptos" w:hAnsi="Aptos" w:cs="Times New Roman"/>
                <w:sz w:val="24"/>
                <w:szCs w:val="24"/>
                <w:lang w:eastAsia="en-US"/>
              </w:rPr>
              <w:t>Molar mass of reactants</w:t>
            </w:r>
          </w:p>
        </w:tc>
        <w:tc>
          <w:tcPr>
            <w:tcW w:w="2409" w:type="dxa"/>
            <w:vAlign w:val="center"/>
          </w:tcPr>
          <w:p w14:paraId="47FD2CFA" w14:textId="77777777" w:rsidR="002B40B1" w:rsidRPr="002B40B1" w:rsidRDefault="002B40B1" w:rsidP="002B40B1">
            <w:pPr>
              <w:spacing w:after="0" w:line="240" w:lineRule="auto"/>
              <w:jc w:val="center"/>
              <w:outlineLvl w:val="9"/>
              <w:rPr>
                <w:rFonts w:ascii="Aptos" w:eastAsia="Aptos" w:hAnsi="Aptos" w:cs="Times New Roman"/>
                <w:sz w:val="24"/>
                <w:szCs w:val="24"/>
                <w:lang w:eastAsia="en-US"/>
              </w:rPr>
            </w:pPr>
            <w:r w:rsidRPr="002B40B1">
              <w:rPr>
                <w:rFonts w:ascii="Aptos" w:eastAsia="Aptos" w:hAnsi="Aptos" w:cs="Times New Roman"/>
                <w:sz w:val="24"/>
                <w:szCs w:val="24"/>
                <w:lang w:eastAsia="en-US"/>
              </w:rPr>
              <w:t xml:space="preserve">Energy density </w:t>
            </w:r>
          </w:p>
          <w:p w14:paraId="56B34338" w14:textId="77777777" w:rsidR="002B40B1" w:rsidRPr="002B40B1" w:rsidRDefault="002B40B1" w:rsidP="002B40B1">
            <w:pPr>
              <w:spacing w:after="0" w:line="240" w:lineRule="auto"/>
              <w:jc w:val="center"/>
              <w:outlineLvl w:val="9"/>
              <w:rPr>
                <w:rFonts w:ascii="Aptos" w:eastAsia="Aptos" w:hAnsi="Aptos" w:cs="Times New Roman"/>
                <w:sz w:val="12"/>
                <w:szCs w:val="12"/>
                <w:lang w:eastAsia="en-US"/>
              </w:rPr>
            </w:pPr>
            <w:r w:rsidRPr="002B40B1">
              <w:rPr>
                <w:rFonts w:ascii="Aptos" w:eastAsia="Aptos" w:hAnsi="Aptos" w:cs="Times New Roman"/>
                <w:sz w:val="12"/>
                <w:szCs w:val="12"/>
                <w:lang w:eastAsia="en-US"/>
              </w:rPr>
              <w:t>(kJ g</w:t>
            </w:r>
            <w:r w:rsidRPr="002B40B1">
              <w:rPr>
                <w:rFonts w:ascii="Aptos" w:eastAsia="Aptos" w:hAnsi="Aptos" w:cs="Times New Roman"/>
                <w:sz w:val="12"/>
                <w:szCs w:val="12"/>
                <w:vertAlign w:val="superscript"/>
                <w:lang w:eastAsia="en-US"/>
              </w:rPr>
              <w:t>-1</w:t>
            </w:r>
            <w:r w:rsidRPr="002B40B1">
              <w:rPr>
                <w:rFonts w:ascii="Aptos" w:eastAsia="Aptos" w:hAnsi="Aptos" w:cs="Times New Roman"/>
                <w:sz w:val="12"/>
                <w:szCs w:val="12"/>
                <w:lang w:eastAsia="en-US"/>
              </w:rPr>
              <w:t>)</w:t>
            </w:r>
          </w:p>
        </w:tc>
      </w:tr>
      <w:tr w:rsidR="002B40B1" w:rsidRPr="002B40B1" w14:paraId="37732A80" w14:textId="77777777" w:rsidTr="002B40B1">
        <w:tc>
          <w:tcPr>
            <w:tcW w:w="1555" w:type="dxa"/>
            <w:vAlign w:val="center"/>
          </w:tcPr>
          <w:p w14:paraId="00A36459" w14:textId="77777777" w:rsidR="002B40B1" w:rsidRPr="002B40B1" w:rsidRDefault="002B40B1" w:rsidP="002B40B1">
            <w:pPr>
              <w:spacing w:after="0" w:line="240" w:lineRule="auto"/>
              <w:jc w:val="center"/>
              <w:outlineLvl w:val="9"/>
              <w:rPr>
                <w:rFonts w:ascii="Aptos" w:eastAsia="Aptos" w:hAnsi="Aptos" w:cs="Times New Roman"/>
                <w:sz w:val="24"/>
                <w:szCs w:val="24"/>
                <w:lang w:eastAsia="en-US"/>
              </w:rPr>
            </w:pPr>
            <w:r w:rsidRPr="002B40B1">
              <w:rPr>
                <w:rFonts w:ascii="Aptos" w:eastAsia="Aptos" w:hAnsi="Aptos" w:cs="Times New Roman"/>
                <w:sz w:val="24"/>
                <w:szCs w:val="24"/>
                <w:lang w:eastAsia="en-US"/>
              </w:rPr>
              <w:t>Combustion of carbon</w:t>
            </w:r>
          </w:p>
        </w:tc>
        <w:tc>
          <w:tcPr>
            <w:tcW w:w="850" w:type="dxa"/>
            <w:vAlign w:val="center"/>
          </w:tcPr>
          <w:p w14:paraId="174D495B" w14:textId="77777777" w:rsidR="002B40B1" w:rsidRPr="002B40B1" w:rsidRDefault="002B40B1" w:rsidP="002B40B1">
            <w:pPr>
              <w:spacing w:after="0" w:line="240" w:lineRule="auto"/>
              <w:jc w:val="center"/>
              <w:outlineLvl w:val="9"/>
              <w:rPr>
                <w:rFonts w:ascii="Aptos" w:eastAsia="Aptos" w:hAnsi="Aptos" w:cs="Times New Roman"/>
                <w:sz w:val="24"/>
                <w:szCs w:val="24"/>
                <w:lang w:eastAsia="en-US"/>
              </w:rPr>
            </w:pPr>
            <w:r w:rsidRPr="002B40B1">
              <w:rPr>
                <w:rFonts w:ascii="Aptos" w:eastAsia="Aptos" w:hAnsi="Aptos" w:cs="Times New Roman"/>
                <w:sz w:val="24"/>
                <w:szCs w:val="24"/>
                <w:lang w:eastAsia="en-US"/>
              </w:rPr>
              <w:t>–394</w:t>
            </w:r>
          </w:p>
        </w:tc>
        <w:tc>
          <w:tcPr>
            <w:tcW w:w="1985" w:type="dxa"/>
            <w:vAlign w:val="center"/>
          </w:tcPr>
          <w:p w14:paraId="0B03E32F" w14:textId="77777777" w:rsidR="002B40B1" w:rsidRPr="002B40B1" w:rsidRDefault="002B40B1" w:rsidP="002B40B1">
            <w:pPr>
              <w:spacing w:after="0" w:line="240" w:lineRule="auto"/>
              <w:jc w:val="center"/>
              <w:outlineLvl w:val="9"/>
              <w:rPr>
                <w:rFonts w:ascii="Aptos" w:eastAsia="Aptos" w:hAnsi="Aptos" w:cs="Times New Roman"/>
                <w:sz w:val="16"/>
                <w:szCs w:val="16"/>
                <w:lang w:eastAsia="en-US"/>
              </w:rPr>
            </w:pPr>
            <w:r w:rsidRPr="002B40B1">
              <w:rPr>
                <w:rFonts w:ascii="Aptos" w:eastAsia="Aptos" w:hAnsi="Aptos" w:cs="Times New Roman"/>
                <w:sz w:val="16"/>
                <w:szCs w:val="16"/>
                <w:lang w:eastAsia="en-US"/>
              </w:rPr>
              <w:t>C + O</w:t>
            </w:r>
            <w:r w:rsidRPr="002B40B1">
              <w:rPr>
                <w:rFonts w:ascii="Aptos" w:eastAsia="Aptos" w:hAnsi="Aptos" w:cs="Times New Roman"/>
                <w:sz w:val="16"/>
                <w:szCs w:val="16"/>
                <w:vertAlign w:val="subscript"/>
                <w:lang w:eastAsia="en-US"/>
              </w:rPr>
              <w:t>2</w:t>
            </w:r>
            <w:r w:rsidRPr="002B40B1">
              <w:rPr>
                <w:rFonts w:ascii="Aptos" w:eastAsia="Aptos" w:hAnsi="Aptos" w:cs="Times New Roman"/>
                <w:sz w:val="16"/>
                <w:szCs w:val="16"/>
                <w:lang w:eastAsia="en-US"/>
              </w:rPr>
              <w:t xml:space="preserve"> </w:t>
            </w:r>
            <w:r w:rsidRPr="002B40B1">
              <w:rPr>
                <w:rFonts w:ascii="Aptos" w:eastAsia="Aptos" w:hAnsi="Aptos" w:cs="Times New Roman"/>
                <w:sz w:val="16"/>
                <w:szCs w:val="16"/>
                <w:lang w:eastAsia="en-US"/>
              </w:rPr>
              <w:sym w:font="Wingdings" w:char="F0E0"/>
            </w:r>
            <w:r w:rsidRPr="002B40B1">
              <w:rPr>
                <w:rFonts w:ascii="Aptos" w:eastAsia="Aptos" w:hAnsi="Aptos" w:cs="Times New Roman"/>
                <w:sz w:val="16"/>
                <w:szCs w:val="16"/>
                <w:lang w:eastAsia="en-US"/>
              </w:rPr>
              <w:t xml:space="preserve"> CO</w:t>
            </w:r>
            <w:r w:rsidRPr="002B40B1">
              <w:rPr>
                <w:rFonts w:ascii="Aptos" w:eastAsia="Aptos" w:hAnsi="Aptos" w:cs="Times New Roman"/>
                <w:sz w:val="16"/>
                <w:szCs w:val="16"/>
                <w:vertAlign w:val="subscript"/>
                <w:lang w:eastAsia="en-US"/>
              </w:rPr>
              <w:t>2</w:t>
            </w:r>
          </w:p>
        </w:tc>
        <w:tc>
          <w:tcPr>
            <w:tcW w:w="2551" w:type="dxa"/>
          </w:tcPr>
          <w:p w14:paraId="2F2F26C1" w14:textId="77777777" w:rsidR="002B40B1" w:rsidRPr="002B40B1" w:rsidRDefault="002B40B1" w:rsidP="002B40B1">
            <w:pPr>
              <w:spacing w:after="160" w:line="240" w:lineRule="auto"/>
              <w:jc w:val="left"/>
              <w:outlineLvl w:val="9"/>
              <w:rPr>
                <w:rFonts w:ascii="Aptos" w:eastAsia="Aptos" w:hAnsi="Aptos" w:cs="Times New Roman"/>
                <w:sz w:val="24"/>
                <w:szCs w:val="24"/>
                <w:lang w:eastAsia="en-US"/>
              </w:rPr>
            </w:pPr>
            <m:oMathPara>
              <m:oMath>
                <m:r>
                  <w:rPr>
                    <w:rFonts w:ascii="Cambria Math" w:eastAsia="Aptos" w:hAnsi="Cambria Math" w:cs="Times New Roman"/>
                    <w:sz w:val="24"/>
                    <w:szCs w:val="24"/>
                    <w:lang w:eastAsia="en-US"/>
                  </w:rPr>
                  <m:t>12 + 32 =</m:t>
                </m:r>
              </m:oMath>
            </m:oMathPara>
          </w:p>
          <w:p w14:paraId="3EEE7D70" w14:textId="77777777" w:rsidR="002B40B1" w:rsidRPr="002B40B1" w:rsidRDefault="002B40B1" w:rsidP="002B40B1">
            <w:pPr>
              <w:spacing w:after="0" w:line="240" w:lineRule="auto"/>
              <w:jc w:val="right"/>
              <w:outlineLvl w:val="9"/>
              <w:rPr>
                <w:rFonts w:ascii="Aptos" w:eastAsia="Aptos" w:hAnsi="Aptos" w:cs="Times New Roman"/>
                <w:sz w:val="24"/>
                <w:szCs w:val="24"/>
                <w:lang w:eastAsia="en-US"/>
              </w:rPr>
            </w:pPr>
            <w:r w:rsidRPr="002B40B1">
              <w:rPr>
                <w:rFonts w:ascii="Aptos" w:eastAsia="Aptos" w:hAnsi="Aptos" w:cs="Times New Roman"/>
                <w:sz w:val="24"/>
                <w:szCs w:val="24"/>
                <w:lang w:eastAsia="en-US"/>
              </w:rPr>
              <w:t>44 g mol</w:t>
            </w:r>
            <w:r w:rsidRPr="002B40B1">
              <w:rPr>
                <w:rFonts w:ascii="Aptos" w:eastAsia="Aptos" w:hAnsi="Aptos" w:cs="Times New Roman"/>
                <w:sz w:val="24"/>
                <w:szCs w:val="24"/>
                <w:vertAlign w:val="superscript"/>
                <w:lang w:eastAsia="en-US"/>
              </w:rPr>
              <w:t>-1</w:t>
            </w:r>
          </w:p>
        </w:tc>
        <w:tc>
          <w:tcPr>
            <w:tcW w:w="2409" w:type="dxa"/>
          </w:tcPr>
          <w:p w14:paraId="5E4F002C" w14:textId="77777777" w:rsidR="002B40B1" w:rsidRPr="002B40B1" w:rsidRDefault="00AD26AD" w:rsidP="002B40B1">
            <w:pPr>
              <w:spacing w:after="0" w:line="240" w:lineRule="auto"/>
              <w:jc w:val="left"/>
              <w:outlineLvl w:val="9"/>
              <w:rPr>
                <w:rFonts w:ascii="Aptos" w:eastAsia="Aptos" w:hAnsi="Aptos" w:cs="Times New Roman"/>
                <w:iCs/>
                <w:sz w:val="24"/>
                <w:szCs w:val="24"/>
                <w:lang w:eastAsia="en-US"/>
              </w:rPr>
            </w:pPr>
            <m:oMathPara>
              <m:oMath>
                <m:box>
                  <m:boxPr>
                    <m:ctrlPr>
                      <w:rPr>
                        <w:rFonts w:ascii="Cambria Math" w:eastAsia="Aptos" w:hAnsi="Cambria Math" w:cs="Times New Roman"/>
                        <w:iCs/>
                        <w:sz w:val="24"/>
                        <w:szCs w:val="24"/>
                        <w:lang w:eastAsia="en-US"/>
                      </w:rPr>
                    </m:ctrlPr>
                  </m:boxPr>
                  <m:e>
                    <m:argPr>
                      <m:argSz m:val="-1"/>
                    </m:argPr>
                    <m:f>
                      <m:fPr>
                        <m:ctrlPr>
                          <w:rPr>
                            <w:rFonts w:ascii="Cambria Math" w:eastAsia="Aptos" w:hAnsi="Cambria Math" w:cs="Times New Roman"/>
                            <w:iCs/>
                            <w:sz w:val="24"/>
                            <w:szCs w:val="24"/>
                            <w:lang w:eastAsia="en-US"/>
                          </w:rPr>
                        </m:ctrlPr>
                      </m:fPr>
                      <m:num>
                        <m:r>
                          <m:rPr>
                            <m:sty m:val="p"/>
                          </m:rPr>
                          <w:rPr>
                            <w:rFonts w:ascii="Cambria Math" w:eastAsia="Aptos" w:hAnsi="Cambria Math" w:cs="Times New Roman"/>
                            <w:sz w:val="24"/>
                            <w:szCs w:val="24"/>
                            <w:lang w:eastAsia="en-US"/>
                          </w:rPr>
                          <m:t xml:space="preserve">394 kJ </m:t>
                        </m:r>
                        <m:sSup>
                          <m:sSupPr>
                            <m:ctrlPr>
                              <w:rPr>
                                <w:rFonts w:ascii="Cambria Math" w:eastAsia="Aptos" w:hAnsi="Cambria Math" w:cs="Times New Roman"/>
                                <w:iCs/>
                                <w:sz w:val="24"/>
                                <w:szCs w:val="24"/>
                                <w:lang w:eastAsia="en-US"/>
                              </w:rPr>
                            </m:ctrlPr>
                          </m:sSupPr>
                          <m:e>
                            <m:r>
                              <m:rPr>
                                <m:sty m:val="p"/>
                              </m:rPr>
                              <w:rPr>
                                <w:rFonts w:ascii="Cambria Math" w:eastAsia="Aptos" w:hAnsi="Cambria Math" w:cs="Times New Roman"/>
                                <w:sz w:val="24"/>
                                <w:szCs w:val="24"/>
                                <w:lang w:eastAsia="en-US"/>
                              </w:rPr>
                              <m:t>mol</m:t>
                            </m:r>
                          </m:e>
                          <m:sup>
                            <m:r>
                              <m:rPr>
                                <m:sty m:val="p"/>
                              </m:rPr>
                              <w:rPr>
                                <w:rFonts w:ascii="Cambria Math" w:eastAsia="Aptos" w:hAnsi="Cambria Math" w:cs="Times New Roman"/>
                                <w:sz w:val="24"/>
                                <w:szCs w:val="24"/>
                                <w:lang w:eastAsia="en-US"/>
                              </w:rPr>
                              <m:t>-1</m:t>
                            </m:r>
                          </m:sup>
                        </m:sSup>
                      </m:num>
                      <m:den>
                        <m:r>
                          <m:rPr>
                            <m:sty m:val="p"/>
                          </m:rPr>
                          <w:rPr>
                            <w:rFonts w:ascii="Cambria Math" w:eastAsia="Aptos" w:hAnsi="Cambria Math" w:cs="Times New Roman"/>
                            <w:sz w:val="24"/>
                            <w:szCs w:val="24"/>
                            <w:lang w:eastAsia="en-US"/>
                          </w:rPr>
                          <m:t xml:space="preserve">44 g </m:t>
                        </m:r>
                        <m:sSup>
                          <m:sSupPr>
                            <m:ctrlPr>
                              <w:rPr>
                                <w:rFonts w:ascii="Cambria Math" w:eastAsia="Aptos" w:hAnsi="Cambria Math" w:cs="Times New Roman"/>
                                <w:iCs/>
                                <w:sz w:val="24"/>
                                <w:szCs w:val="24"/>
                                <w:lang w:eastAsia="en-US"/>
                              </w:rPr>
                            </m:ctrlPr>
                          </m:sSupPr>
                          <m:e>
                            <m:r>
                              <m:rPr>
                                <m:sty m:val="p"/>
                              </m:rPr>
                              <w:rPr>
                                <w:rFonts w:ascii="Cambria Math" w:eastAsia="Aptos" w:hAnsi="Cambria Math" w:cs="Times New Roman"/>
                                <w:sz w:val="24"/>
                                <w:szCs w:val="24"/>
                                <w:lang w:eastAsia="en-US"/>
                              </w:rPr>
                              <m:t>mol</m:t>
                            </m:r>
                          </m:e>
                          <m:sup>
                            <m:r>
                              <m:rPr>
                                <m:sty m:val="p"/>
                              </m:rPr>
                              <w:rPr>
                                <w:rFonts w:ascii="Cambria Math" w:eastAsia="Aptos" w:hAnsi="Cambria Math" w:cs="Times New Roman"/>
                                <w:sz w:val="24"/>
                                <w:szCs w:val="24"/>
                                <w:lang w:eastAsia="en-US"/>
                              </w:rPr>
                              <m:t>-1</m:t>
                            </m:r>
                          </m:sup>
                        </m:sSup>
                      </m:den>
                    </m:f>
                  </m:e>
                </m:box>
              </m:oMath>
            </m:oMathPara>
          </w:p>
          <w:p w14:paraId="17C68F46" w14:textId="77777777" w:rsidR="002B40B1" w:rsidRPr="002B40B1" w:rsidRDefault="002B40B1" w:rsidP="002B40B1">
            <w:pPr>
              <w:spacing w:after="0" w:line="240" w:lineRule="auto"/>
              <w:jc w:val="right"/>
              <w:outlineLvl w:val="9"/>
              <w:rPr>
                <w:rFonts w:ascii="Aptos" w:eastAsia="Aptos" w:hAnsi="Aptos" w:cs="Times New Roman"/>
                <w:sz w:val="24"/>
                <w:szCs w:val="24"/>
                <w:lang w:eastAsia="en-US"/>
              </w:rPr>
            </w:pPr>
            <w:r w:rsidRPr="002B40B1">
              <w:rPr>
                <w:rFonts w:ascii="Aptos" w:eastAsia="Aptos" w:hAnsi="Aptos" w:cs="Times New Roman"/>
                <w:sz w:val="24"/>
                <w:szCs w:val="24"/>
                <w:lang w:eastAsia="en-US"/>
              </w:rPr>
              <w:t>= 9.0 kJ g</w:t>
            </w:r>
            <w:r w:rsidRPr="002B40B1">
              <w:rPr>
                <w:rFonts w:ascii="Aptos" w:eastAsia="Aptos" w:hAnsi="Aptos" w:cs="Times New Roman"/>
                <w:sz w:val="24"/>
                <w:szCs w:val="24"/>
                <w:vertAlign w:val="superscript"/>
                <w:lang w:eastAsia="en-US"/>
              </w:rPr>
              <w:t>-1</w:t>
            </w:r>
          </w:p>
        </w:tc>
      </w:tr>
      <w:tr w:rsidR="002B40B1" w:rsidRPr="002B40B1" w14:paraId="6AA9278E" w14:textId="77777777" w:rsidTr="002B40B1">
        <w:tc>
          <w:tcPr>
            <w:tcW w:w="1555" w:type="dxa"/>
            <w:vAlign w:val="center"/>
          </w:tcPr>
          <w:p w14:paraId="58324192" w14:textId="77777777" w:rsidR="002B40B1" w:rsidRPr="002B40B1" w:rsidRDefault="002B40B1" w:rsidP="002B40B1">
            <w:pPr>
              <w:spacing w:after="0" w:line="240" w:lineRule="auto"/>
              <w:jc w:val="center"/>
              <w:outlineLvl w:val="9"/>
              <w:rPr>
                <w:rFonts w:ascii="Aptos" w:eastAsia="Aptos" w:hAnsi="Aptos" w:cs="Times New Roman"/>
                <w:sz w:val="24"/>
                <w:szCs w:val="24"/>
                <w:lang w:eastAsia="en-US"/>
              </w:rPr>
            </w:pPr>
            <w:r w:rsidRPr="002B40B1">
              <w:rPr>
                <w:rFonts w:ascii="Aptos" w:eastAsia="Aptos" w:hAnsi="Aptos" w:cs="Times New Roman"/>
                <w:sz w:val="24"/>
                <w:szCs w:val="24"/>
                <w:lang w:eastAsia="en-US"/>
              </w:rPr>
              <w:t>Thermite</w:t>
            </w:r>
          </w:p>
        </w:tc>
        <w:tc>
          <w:tcPr>
            <w:tcW w:w="850" w:type="dxa"/>
            <w:vAlign w:val="center"/>
          </w:tcPr>
          <w:p w14:paraId="1B0A6C69" w14:textId="77777777" w:rsidR="002B40B1" w:rsidRPr="002B40B1" w:rsidRDefault="002B40B1" w:rsidP="002B40B1">
            <w:pPr>
              <w:spacing w:after="0" w:line="240" w:lineRule="auto"/>
              <w:jc w:val="center"/>
              <w:outlineLvl w:val="9"/>
              <w:rPr>
                <w:rFonts w:ascii="Aptos" w:eastAsia="Aptos" w:hAnsi="Aptos" w:cs="Times New Roman"/>
                <w:sz w:val="24"/>
                <w:szCs w:val="24"/>
                <w:lang w:eastAsia="en-US"/>
              </w:rPr>
            </w:pPr>
            <w:r w:rsidRPr="002B40B1">
              <w:rPr>
                <w:rFonts w:ascii="Aptos" w:eastAsia="Aptos" w:hAnsi="Aptos" w:cs="Times New Roman"/>
                <w:sz w:val="24"/>
                <w:szCs w:val="24"/>
                <w:lang w:eastAsia="en-US"/>
              </w:rPr>
              <w:t>–850</w:t>
            </w:r>
          </w:p>
        </w:tc>
        <w:tc>
          <w:tcPr>
            <w:tcW w:w="1985" w:type="dxa"/>
            <w:vAlign w:val="center"/>
          </w:tcPr>
          <w:p w14:paraId="79EDC0F9" w14:textId="77777777" w:rsidR="002B40B1" w:rsidRPr="002B40B1" w:rsidRDefault="002B40B1" w:rsidP="002B40B1">
            <w:pPr>
              <w:spacing w:after="0" w:line="240" w:lineRule="auto"/>
              <w:jc w:val="center"/>
              <w:outlineLvl w:val="9"/>
              <w:rPr>
                <w:rFonts w:ascii="Aptos" w:eastAsia="Aptos" w:hAnsi="Aptos" w:cs="Times New Roman"/>
                <w:sz w:val="16"/>
                <w:szCs w:val="16"/>
                <w:lang w:eastAsia="en-US"/>
              </w:rPr>
            </w:pPr>
            <w:r w:rsidRPr="002B40B1">
              <w:rPr>
                <w:rFonts w:ascii="Aptos" w:eastAsia="Aptos" w:hAnsi="Aptos" w:cs="Times New Roman"/>
                <w:sz w:val="16"/>
                <w:szCs w:val="16"/>
                <w:lang w:eastAsia="en-US"/>
              </w:rPr>
              <w:t>Fe</w:t>
            </w:r>
            <w:r w:rsidRPr="002B40B1">
              <w:rPr>
                <w:rFonts w:ascii="Aptos" w:eastAsia="Aptos" w:hAnsi="Aptos" w:cs="Times New Roman"/>
                <w:sz w:val="16"/>
                <w:szCs w:val="16"/>
                <w:vertAlign w:val="subscript"/>
                <w:lang w:eastAsia="en-US"/>
              </w:rPr>
              <w:t>2</w:t>
            </w:r>
            <w:r w:rsidRPr="002B40B1">
              <w:rPr>
                <w:rFonts w:ascii="Aptos" w:eastAsia="Aptos" w:hAnsi="Aptos" w:cs="Times New Roman"/>
                <w:sz w:val="16"/>
                <w:szCs w:val="16"/>
                <w:lang w:eastAsia="en-US"/>
              </w:rPr>
              <w:t>O</w:t>
            </w:r>
            <w:r w:rsidRPr="002B40B1">
              <w:rPr>
                <w:rFonts w:ascii="Aptos" w:eastAsia="Aptos" w:hAnsi="Aptos" w:cs="Times New Roman"/>
                <w:sz w:val="16"/>
                <w:szCs w:val="16"/>
                <w:vertAlign w:val="subscript"/>
                <w:lang w:eastAsia="en-US"/>
              </w:rPr>
              <w:t>3</w:t>
            </w:r>
            <w:r w:rsidRPr="002B40B1">
              <w:rPr>
                <w:rFonts w:ascii="Aptos" w:eastAsia="Aptos" w:hAnsi="Aptos" w:cs="Times New Roman"/>
                <w:sz w:val="16"/>
                <w:szCs w:val="16"/>
                <w:lang w:eastAsia="en-US"/>
              </w:rPr>
              <w:t xml:space="preserve"> + 2 Al </w:t>
            </w:r>
            <w:r w:rsidRPr="002B40B1">
              <w:rPr>
                <w:rFonts w:ascii="Aptos" w:eastAsia="Aptos" w:hAnsi="Aptos" w:cs="Times New Roman"/>
                <w:sz w:val="16"/>
                <w:szCs w:val="16"/>
                <w:lang w:eastAsia="en-US"/>
              </w:rPr>
              <w:sym w:font="Wingdings" w:char="F0E0"/>
            </w:r>
            <w:r w:rsidRPr="002B40B1">
              <w:rPr>
                <w:rFonts w:ascii="Aptos" w:eastAsia="Aptos" w:hAnsi="Aptos" w:cs="Times New Roman"/>
                <w:sz w:val="16"/>
                <w:szCs w:val="16"/>
                <w:lang w:eastAsia="en-US"/>
              </w:rPr>
              <w:t xml:space="preserve"> Al</w:t>
            </w:r>
            <w:r w:rsidRPr="002B40B1">
              <w:rPr>
                <w:rFonts w:ascii="Aptos" w:eastAsia="Aptos" w:hAnsi="Aptos" w:cs="Times New Roman"/>
                <w:sz w:val="16"/>
                <w:szCs w:val="16"/>
                <w:vertAlign w:val="subscript"/>
                <w:lang w:eastAsia="en-US"/>
              </w:rPr>
              <w:t>2</w:t>
            </w:r>
            <w:r w:rsidRPr="002B40B1">
              <w:rPr>
                <w:rFonts w:ascii="Aptos" w:eastAsia="Aptos" w:hAnsi="Aptos" w:cs="Times New Roman"/>
                <w:sz w:val="16"/>
                <w:szCs w:val="16"/>
                <w:lang w:eastAsia="en-US"/>
              </w:rPr>
              <w:t>O</w:t>
            </w:r>
            <w:r w:rsidRPr="002B40B1">
              <w:rPr>
                <w:rFonts w:ascii="Aptos" w:eastAsia="Aptos" w:hAnsi="Aptos" w:cs="Times New Roman"/>
                <w:sz w:val="16"/>
                <w:szCs w:val="16"/>
                <w:vertAlign w:val="subscript"/>
                <w:lang w:eastAsia="en-US"/>
              </w:rPr>
              <w:t>3</w:t>
            </w:r>
            <w:r w:rsidRPr="002B40B1">
              <w:rPr>
                <w:rFonts w:ascii="Aptos" w:eastAsia="Aptos" w:hAnsi="Aptos" w:cs="Times New Roman"/>
                <w:sz w:val="16"/>
                <w:szCs w:val="16"/>
                <w:lang w:eastAsia="en-US"/>
              </w:rPr>
              <w:t xml:space="preserve"> + 2 Fe</w:t>
            </w:r>
          </w:p>
        </w:tc>
        <w:tc>
          <w:tcPr>
            <w:tcW w:w="2551" w:type="dxa"/>
          </w:tcPr>
          <w:p w14:paraId="3110FF94" w14:textId="77777777" w:rsidR="002B40B1" w:rsidRPr="002B40B1" w:rsidRDefault="002B40B1" w:rsidP="002B40B1">
            <w:pPr>
              <w:spacing w:after="160" w:line="240" w:lineRule="auto"/>
              <w:jc w:val="left"/>
              <w:outlineLvl w:val="9"/>
              <w:rPr>
                <w:rFonts w:ascii="Aptos" w:eastAsia="Aptos" w:hAnsi="Aptos" w:cs="Times New Roman"/>
                <w:sz w:val="24"/>
                <w:szCs w:val="24"/>
                <w:lang w:eastAsia="en-US"/>
              </w:rPr>
            </w:pPr>
            <m:oMathPara>
              <m:oMathParaPr>
                <m:jc m:val="center"/>
              </m:oMathParaPr>
              <m:oMath>
                <m:r>
                  <w:rPr>
                    <w:rFonts w:ascii="Cambria Math" w:eastAsia="Aptos" w:hAnsi="Cambria Math" w:cs="Times New Roman"/>
                    <w:sz w:val="24"/>
                    <w:szCs w:val="24"/>
                    <w:lang w:eastAsia="en-US"/>
                  </w:rPr>
                  <m:t>(2×27.0)+159.7 =</m:t>
                </m:r>
              </m:oMath>
            </m:oMathPara>
          </w:p>
          <w:p w14:paraId="742992A0" w14:textId="77777777" w:rsidR="002B40B1" w:rsidRPr="002B40B1" w:rsidRDefault="002B40B1" w:rsidP="002B40B1">
            <w:pPr>
              <w:spacing w:after="0" w:line="240" w:lineRule="auto"/>
              <w:jc w:val="right"/>
              <w:outlineLvl w:val="9"/>
              <w:rPr>
                <w:rFonts w:ascii="Aptos" w:eastAsia="Aptos" w:hAnsi="Aptos" w:cs="Times New Roman"/>
                <w:sz w:val="24"/>
                <w:szCs w:val="24"/>
                <w:lang w:eastAsia="en-US"/>
              </w:rPr>
            </w:pPr>
            <w:r w:rsidRPr="002B40B1">
              <w:rPr>
                <w:rFonts w:ascii="Aptos" w:eastAsia="Aptos" w:hAnsi="Aptos" w:cs="Times New Roman"/>
                <w:sz w:val="24"/>
                <w:szCs w:val="24"/>
                <w:lang w:eastAsia="en-US"/>
              </w:rPr>
              <w:t>214 g mol</w:t>
            </w:r>
            <w:r w:rsidRPr="002B40B1">
              <w:rPr>
                <w:rFonts w:ascii="Aptos" w:eastAsia="Aptos" w:hAnsi="Aptos" w:cs="Times New Roman"/>
                <w:sz w:val="24"/>
                <w:szCs w:val="24"/>
                <w:vertAlign w:val="superscript"/>
                <w:lang w:eastAsia="en-US"/>
              </w:rPr>
              <w:t>-1</w:t>
            </w:r>
          </w:p>
        </w:tc>
        <w:tc>
          <w:tcPr>
            <w:tcW w:w="2409" w:type="dxa"/>
          </w:tcPr>
          <w:p w14:paraId="79EAF75D" w14:textId="77777777" w:rsidR="002B40B1" w:rsidRPr="002B40B1" w:rsidRDefault="00AD26AD" w:rsidP="002B40B1">
            <w:pPr>
              <w:spacing w:after="0" w:line="240" w:lineRule="auto"/>
              <w:jc w:val="left"/>
              <w:outlineLvl w:val="9"/>
              <w:rPr>
                <w:rFonts w:ascii="Aptos" w:eastAsia="Aptos" w:hAnsi="Aptos" w:cs="Times New Roman"/>
                <w:iCs/>
                <w:sz w:val="24"/>
                <w:szCs w:val="24"/>
                <w:lang w:eastAsia="en-US"/>
              </w:rPr>
            </w:pPr>
            <m:oMathPara>
              <m:oMath>
                <m:box>
                  <m:boxPr>
                    <m:ctrlPr>
                      <w:rPr>
                        <w:rFonts w:ascii="Cambria Math" w:eastAsia="Aptos" w:hAnsi="Cambria Math" w:cs="Times New Roman"/>
                        <w:iCs/>
                        <w:sz w:val="24"/>
                        <w:szCs w:val="24"/>
                        <w:lang w:eastAsia="en-US"/>
                      </w:rPr>
                    </m:ctrlPr>
                  </m:boxPr>
                  <m:e>
                    <m:argPr>
                      <m:argSz m:val="-1"/>
                    </m:argPr>
                    <m:f>
                      <m:fPr>
                        <m:ctrlPr>
                          <w:rPr>
                            <w:rFonts w:ascii="Cambria Math" w:eastAsia="Aptos" w:hAnsi="Cambria Math" w:cs="Times New Roman"/>
                            <w:iCs/>
                            <w:sz w:val="24"/>
                            <w:szCs w:val="24"/>
                            <w:lang w:eastAsia="en-US"/>
                          </w:rPr>
                        </m:ctrlPr>
                      </m:fPr>
                      <m:num>
                        <m:r>
                          <m:rPr>
                            <m:sty m:val="p"/>
                          </m:rPr>
                          <w:rPr>
                            <w:rFonts w:ascii="Cambria Math" w:eastAsia="Aptos" w:hAnsi="Cambria Math" w:cs="Times New Roman"/>
                            <w:sz w:val="24"/>
                            <w:szCs w:val="24"/>
                            <w:lang w:eastAsia="en-US"/>
                          </w:rPr>
                          <m:t xml:space="preserve">850 kJ </m:t>
                        </m:r>
                        <m:sSup>
                          <m:sSupPr>
                            <m:ctrlPr>
                              <w:rPr>
                                <w:rFonts w:ascii="Cambria Math" w:eastAsia="Aptos" w:hAnsi="Cambria Math" w:cs="Times New Roman"/>
                                <w:iCs/>
                                <w:sz w:val="24"/>
                                <w:szCs w:val="24"/>
                                <w:lang w:eastAsia="en-US"/>
                              </w:rPr>
                            </m:ctrlPr>
                          </m:sSupPr>
                          <m:e>
                            <m:r>
                              <m:rPr>
                                <m:sty m:val="p"/>
                              </m:rPr>
                              <w:rPr>
                                <w:rFonts w:ascii="Cambria Math" w:eastAsia="Aptos" w:hAnsi="Cambria Math" w:cs="Times New Roman"/>
                                <w:sz w:val="24"/>
                                <w:szCs w:val="24"/>
                                <w:lang w:eastAsia="en-US"/>
                              </w:rPr>
                              <m:t>mol</m:t>
                            </m:r>
                          </m:e>
                          <m:sup>
                            <m:r>
                              <m:rPr>
                                <m:sty m:val="p"/>
                              </m:rPr>
                              <w:rPr>
                                <w:rFonts w:ascii="Cambria Math" w:eastAsia="Aptos" w:hAnsi="Cambria Math" w:cs="Times New Roman"/>
                                <w:sz w:val="24"/>
                                <w:szCs w:val="24"/>
                                <w:lang w:eastAsia="en-US"/>
                              </w:rPr>
                              <m:t>-1</m:t>
                            </m:r>
                          </m:sup>
                        </m:sSup>
                      </m:num>
                      <m:den>
                        <m:r>
                          <m:rPr>
                            <m:sty m:val="p"/>
                          </m:rPr>
                          <w:rPr>
                            <w:rFonts w:ascii="Cambria Math" w:eastAsia="Aptos" w:hAnsi="Cambria Math" w:cs="Times New Roman"/>
                            <w:sz w:val="24"/>
                            <w:szCs w:val="24"/>
                            <w:lang w:eastAsia="en-US"/>
                          </w:rPr>
                          <m:t xml:space="preserve">214 g </m:t>
                        </m:r>
                        <m:sSup>
                          <m:sSupPr>
                            <m:ctrlPr>
                              <w:rPr>
                                <w:rFonts w:ascii="Cambria Math" w:eastAsia="Aptos" w:hAnsi="Cambria Math" w:cs="Times New Roman"/>
                                <w:iCs/>
                                <w:sz w:val="24"/>
                                <w:szCs w:val="24"/>
                                <w:lang w:eastAsia="en-US"/>
                              </w:rPr>
                            </m:ctrlPr>
                          </m:sSupPr>
                          <m:e>
                            <m:r>
                              <m:rPr>
                                <m:sty m:val="p"/>
                              </m:rPr>
                              <w:rPr>
                                <w:rFonts w:ascii="Cambria Math" w:eastAsia="Aptos" w:hAnsi="Cambria Math" w:cs="Times New Roman"/>
                                <w:sz w:val="24"/>
                                <w:szCs w:val="24"/>
                                <w:lang w:eastAsia="en-US"/>
                              </w:rPr>
                              <m:t>mol</m:t>
                            </m:r>
                          </m:e>
                          <m:sup>
                            <m:r>
                              <m:rPr>
                                <m:sty m:val="p"/>
                              </m:rPr>
                              <w:rPr>
                                <w:rFonts w:ascii="Cambria Math" w:eastAsia="Aptos" w:hAnsi="Cambria Math" w:cs="Times New Roman"/>
                                <w:sz w:val="24"/>
                                <w:szCs w:val="24"/>
                                <w:lang w:eastAsia="en-US"/>
                              </w:rPr>
                              <m:t>-1</m:t>
                            </m:r>
                          </m:sup>
                        </m:sSup>
                      </m:den>
                    </m:f>
                  </m:e>
                </m:box>
              </m:oMath>
            </m:oMathPara>
          </w:p>
          <w:p w14:paraId="462092B6" w14:textId="77777777" w:rsidR="002B40B1" w:rsidRPr="002B40B1" w:rsidRDefault="002B40B1" w:rsidP="002B40B1">
            <w:pPr>
              <w:spacing w:after="0" w:line="240" w:lineRule="auto"/>
              <w:jc w:val="right"/>
              <w:outlineLvl w:val="9"/>
              <w:rPr>
                <w:rFonts w:ascii="Aptos" w:eastAsia="Aptos" w:hAnsi="Aptos" w:cs="Times New Roman"/>
                <w:sz w:val="24"/>
                <w:szCs w:val="24"/>
                <w:lang w:eastAsia="en-US"/>
              </w:rPr>
            </w:pPr>
            <w:r w:rsidRPr="002B40B1">
              <w:rPr>
                <w:rFonts w:ascii="Aptos" w:eastAsia="Aptos" w:hAnsi="Aptos" w:cs="Times New Roman"/>
                <w:sz w:val="24"/>
                <w:szCs w:val="24"/>
                <w:lang w:eastAsia="en-US"/>
              </w:rPr>
              <w:t>= 4.0 kJ g</w:t>
            </w:r>
            <w:r w:rsidRPr="002B40B1">
              <w:rPr>
                <w:rFonts w:ascii="Aptos" w:eastAsia="Aptos" w:hAnsi="Aptos" w:cs="Times New Roman"/>
                <w:sz w:val="24"/>
                <w:szCs w:val="24"/>
                <w:vertAlign w:val="superscript"/>
                <w:lang w:eastAsia="en-US"/>
              </w:rPr>
              <w:t>-1</w:t>
            </w:r>
          </w:p>
        </w:tc>
      </w:tr>
    </w:tbl>
    <w:p w14:paraId="527AF3A1" w14:textId="77777777" w:rsidR="00122D31" w:rsidRDefault="00122D31" w:rsidP="00957291">
      <w:pPr>
        <w:spacing w:after="160" w:line="259" w:lineRule="auto"/>
        <w:jc w:val="left"/>
        <w:outlineLvl w:val="9"/>
        <w:rPr>
          <w:rFonts w:ascii="Century Gothic" w:hAnsi="Century Gothic"/>
          <w:b/>
          <w:bCs/>
          <w:noProof/>
          <w:color w:val="8E1055"/>
          <w:sz w:val="28"/>
          <w:szCs w:val="22"/>
          <w:lang w:eastAsia="en-GB"/>
        </w:rPr>
      </w:pPr>
    </w:p>
    <w:p w14:paraId="66D6CA56" w14:textId="77777777" w:rsidR="00122D31" w:rsidRPr="00122D31" w:rsidRDefault="00122D31" w:rsidP="00122D31">
      <w:pPr>
        <w:spacing w:after="0" w:line="234" w:lineRule="atLeast"/>
        <w:ind w:left="150" w:right="150"/>
        <w:jc w:val="left"/>
        <w:outlineLvl w:val="9"/>
        <w:rPr>
          <w:rFonts w:ascii="Century Gothic" w:eastAsia="Times New Roman" w:hAnsi="Century Gothic" w:cs="Times New Roman"/>
          <w:sz w:val="22"/>
          <w:szCs w:val="22"/>
          <w:lang w:eastAsia="en-GB"/>
        </w:rPr>
      </w:pPr>
      <w:r w:rsidRPr="00122D31">
        <w:rPr>
          <w:rFonts w:ascii="Century Gothic" w:eastAsia="Times New Roman" w:hAnsi="Century Gothic" w:cs="Times New Roman"/>
          <w:sz w:val="22"/>
          <w:szCs w:val="22"/>
          <w:lang w:eastAsia="en-GB"/>
        </w:rPr>
        <w:t>If you compare this value with the enthalpy of combustion of carbon (graphite), which is 394 kJ mol</w:t>
      </w:r>
      <w:r w:rsidRPr="00122D31">
        <w:rPr>
          <w:rFonts w:ascii="Century Gothic" w:eastAsia="Times New Roman" w:hAnsi="Century Gothic" w:cs="Times New Roman"/>
          <w:sz w:val="22"/>
          <w:szCs w:val="22"/>
          <w:vertAlign w:val="superscript"/>
          <w:lang w:eastAsia="en-GB"/>
        </w:rPr>
        <w:t>-1</w:t>
      </w:r>
      <w:r w:rsidRPr="00122D31">
        <w:rPr>
          <w:rFonts w:ascii="Century Gothic" w:eastAsia="Times New Roman" w:hAnsi="Century Gothic" w:cs="Times New Roman"/>
          <w:sz w:val="22"/>
          <w:szCs w:val="22"/>
          <w:lang w:eastAsia="en-GB"/>
        </w:rPr>
        <w:t xml:space="preserve">, you might be tempted to say ‘yes’. But when you consider the molar masses involved, for all its apparent ferocity, the thermite reaction </w:t>
      </w:r>
      <w:proofErr w:type="gramStart"/>
      <w:r w:rsidRPr="00122D31">
        <w:rPr>
          <w:rFonts w:ascii="Century Gothic" w:eastAsia="Times New Roman" w:hAnsi="Century Gothic" w:cs="Times New Roman"/>
          <w:sz w:val="22"/>
          <w:szCs w:val="22"/>
          <w:lang w:eastAsia="en-GB"/>
        </w:rPr>
        <w:t>actually releases</w:t>
      </w:r>
      <w:proofErr w:type="gramEnd"/>
      <w:r w:rsidRPr="00122D31">
        <w:rPr>
          <w:rFonts w:ascii="Century Gothic" w:eastAsia="Times New Roman" w:hAnsi="Century Gothic" w:cs="Times New Roman"/>
          <w:sz w:val="22"/>
          <w:szCs w:val="22"/>
          <w:lang w:eastAsia="en-GB"/>
        </w:rPr>
        <w:t xml:space="preserve"> around half the energy per gram of reactant than a barbeque does.</w:t>
      </w:r>
    </w:p>
    <w:p w14:paraId="4A230D44" w14:textId="77777777" w:rsidR="00122D31" w:rsidRPr="00122D31" w:rsidRDefault="00122D31" w:rsidP="00122D31">
      <w:pPr>
        <w:spacing w:after="0" w:line="234" w:lineRule="atLeast"/>
        <w:ind w:left="150" w:right="150"/>
        <w:jc w:val="left"/>
        <w:outlineLvl w:val="9"/>
        <w:rPr>
          <w:rFonts w:ascii="Century Gothic" w:eastAsia="Times New Roman" w:hAnsi="Century Gothic" w:cs="Times New Roman"/>
          <w:sz w:val="22"/>
          <w:szCs w:val="22"/>
          <w:lang w:eastAsia="en-GB"/>
        </w:rPr>
      </w:pPr>
    </w:p>
    <w:p w14:paraId="591D3C87" w14:textId="77777777" w:rsidR="00122D31" w:rsidRDefault="00122D31" w:rsidP="00122D31">
      <w:pPr>
        <w:spacing w:after="0" w:line="234" w:lineRule="atLeast"/>
        <w:ind w:left="150" w:right="150"/>
        <w:jc w:val="left"/>
        <w:outlineLvl w:val="9"/>
        <w:rPr>
          <w:rFonts w:ascii="Century Gothic" w:eastAsia="Times New Roman" w:hAnsi="Century Gothic"/>
          <w:sz w:val="22"/>
          <w:szCs w:val="22"/>
          <w:lang w:eastAsia="en-GB"/>
        </w:rPr>
      </w:pPr>
      <w:r w:rsidRPr="00122D31">
        <w:rPr>
          <w:rFonts w:ascii="Century Gothic" w:eastAsia="Times New Roman" w:hAnsi="Century Gothic"/>
          <w:sz w:val="22"/>
          <w:szCs w:val="22"/>
          <w:lang w:eastAsia="en-GB"/>
        </w:rPr>
        <w:t>This suggests a kinetic effect. This same phenomenon explains the dramatic sodium and potassium with water reactions (despite them releasing less energy than lithium), and the screaming jelly baby demonstration (compared to a burning marshmallow) (rsc.li/3OKmckf).</w:t>
      </w:r>
    </w:p>
    <w:p w14:paraId="6969A3DB" w14:textId="77777777" w:rsidR="00734AD3" w:rsidRDefault="00734AD3" w:rsidP="00734AD3">
      <w:pPr>
        <w:spacing w:after="0" w:line="234" w:lineRule="atLeast"/>
        <w:ind w:left="150" w:right="150"/>
        <w:jc w:val="left"/>
        <w:outlineLvl w:val="9"/>
        <w:rPr>
          <w:rFonts w:ascii="Century Gothic" w:eastAsia="Times New Roman" w:hAnsi="Century Gothic"/>
          <w:sz w:val="22"/>
          <w:szCs w:val="22"/>
          <w:lang w:eastAsia="en-GB"/>
        </w:rPr>
      </w:pPr>
    </w:p>
    <w:p w14:paraId="7B581093" w14:textId="208A0189" w:rsidR="00734AD3" w:rsidRDefault="00734AD3" w:rsidP="00734AD3">
      <w:pPr>
        <w:spacing w:after="0" w:line="234" w:lineRule="atLeast"/>
        <w:ind w:left="150" w:right="150"/>
        <w:jc w:val="left"/>
        <w:outlineLvl w:val="9"/>
        <w:rPr>
          <w:rFonts w:ascii="Century Gothic" w:eastAsia="Times New Roman" w:hAnsi="Century Gothic"/>
          <w:sz w:val="22"/>
          <w:szCs w:val="22"/>
          <w:lang w:eastAsia="en-GB"/>
        </w:rPr>
      </w:pPr>
      <w:r w:rsidRPr="00734AD3">
        <w:rPr>
          <w:rFonts w:ascii="Century Gothic" w:eastAsia="Times New Roman" w:hAnsi="Century Gothic"/>
          <w:sz w:val="22"/>
          <w:szCs w:val="22"/>
          <w:lang w:eastAsia="en-GB"/>
        </w:rPr>
        <w:t>The low density of the mixture (typically around 0.7 g cm</w:t>
      </w:r>
      <w:r w:rsidRPr="00734AD3">
        <w:rPr>
          <w:rFonts w:ascii="Century Gothic" w:eastAsia="Times New Roman" w:hAnsi="Century Gothic"/>
          <w:sz w:val="22"/>
          <w:szCs w:val="22"/>
          <w:vertAlign w:val="superscript"/>
          <w:lang w:eastAsia="en-GB"/>
        </w:rPr>
        <w:t>-3</w:t>
      </w:r>
      <w:r w:rsidRPr="00734AD3">
        <w:rPr>
          <w:rFonts w:ascii="Century Gothic" w:eastAsia="Times New Roman" w:hAnsi="Century Gothic"/>
          <w:sz w:val="22"/>
          <w:szCs w:val="22"/>
          <w:lang w:eastAsia="en-GB"/>
        </w:rPr>
        <w:t> – although this can be higher with compressed formulations) means a little input of heat can greatly increase its temperature.</w:t>
      </w:r>
    </w:p>
    <w:p w14:paraId="25C6B665" w14:textId="77777777" w:rsidR="00734AD3" w:rsidRPr="00734AD3" w:rsidRDefault="00734AD3" w:rsidP="00734AD3">
      <w:pPr>
        <w:spacing w:after="0" w:line="234" w:lineRule="atLeast"/>
        <w:ind w:left="150" w:right="150"/>
        <w:jc w:val="left"/>
        <w:outlineLvl w:val="9"/>
        <w:rPr>
          <w:rFonts w:ascii="Century Gothic" w:eastAsia="Times New Roman" w:hAnsi="Century Gothic"/>
          <w:sz w:val="22"/>
          <w:szCs w:val="22"/>
          <w:lang w:eastAsia="en-GB"/>
        </w:rPr>
      </w:pPr>
    </w:p>
    <w:p w14:paraId="7C80DC52" w14:textId="77777777" w:rsidR="00734AD3" w:rsidRDefault="00734AD3" w:rsidP="00734AD3">
      <w:pPr>
        <w:spacing w:after="0" w:line="234" w:lineRule="atLeast"/>
        <w:ind w:left="150" w:right="150"/>
        <w:jc w:val="left"/>
        <w:outlineLvl w:val="9"/>
        <w:rPr>
          <w:rFonts w:ascii="Century Gothic" w:eastAsia="Times New Roman" w:hAnsi="Century Gothic"/>
          <w:sz w:val="22"/>
          <w:szCs w:val="22"/>
          <w:lang w:eastAsia="en-GB"/>
        </w:rPr>
      </w:pPr>
      <w:r w:rsidRPr="00734AD3">
        <w:rPr>
          <w:rFonts w:ascii="Century Gothic" w:eastAsia="Times New Roman" w:hAnsi="Century Gothic"/>
          <w:sz w:val="22"/>
          <w:szCs w:val="22"/>
          <w:lang w:eastAsia="en-GB"/>
        </w:rPr>
        <w:lastRenderedPageBreak/>
        <w:t>The thermite reaction rapidly reaches aluminium’s melting point. While its boiling point (2519°C) is comparable to first-row d-block elements such as iron or copper, its melting point (660°C) is significantly lower. This allows what would otherwise be a solid–solid reaction to get a kinetic boost as the aluminium melts.</w:t>
      </w:r>
    </w:p>
    <w:p w14:paraId="3E8D5953" w14:textId="77777777" w:rsidR="00734AD3" w:rsidRPr="00734AD3" w:rsidRDefault="00734AD3" w:rsidP="00734AD3">
      <w:pPr>
        <w:spacing w:after="0" w:line="234" w:lineRule="atLeast"/>
        <w:ind w:left="150" w:right="150"/>
        <w:jc w:val="left"/>
        <w:outlineLvl w:val="9"/>
        <w:rPr>
          <w:rFonts w:ascii="Century Gothic" w:eastAsia="Times New Roman" w:hAnsi="Century Gothic"/>
          <w:sz w:val="22"/>
          <w:szCs w:val="22"/>
          <w:lang w:eastAsia="en-GB"/>
        </w:rPr>
      </w:pPr>
    </w:p>
    <w:p w14:paraId="76913EFB" w14:textId="77777777" w:rsidR="00734AD3" w:rsidRPr="00734AD3" w:rsidRDefault="00734AD3" w:rsidP="00734AD3">
      <w:pPr>
        <w:spacing w:after="0" w:line="234" w:lineRule="atLeast"/>
        <w:ind w:left="150" w:right="150"/>
        <w:jc w:val="left"/>
        <w:outlineLvl w:val="9"/>
        <w:rPr>
          <w:rFonts w:ascii="Century Gothic" w:eastAsia="Times New Roman" w:hAnsi="Century Gothic"/>
          <w:sz w:val="22"/>
          <w:szCs w:val="22"/>
          <w:lang w:eastAsia="en-GB"/>
        </w:rPr>
      </w:pPr>
      <w:r w:rsidRPr="00734AD3">
        <w:rPr>
          <w:rFonts w:ascii="Century Gothic" w:eastAsia="Times New Roman" w:hAnsi="Century Gothic"/>
          <w:sz w:val="22"/>
          <w:szCs w:val="22"/>
          <w:lang w:eastAsia="en-GB"/>
        </w:rPr>
        <w:t xml:space="preserve">While a barbeque needs oxygen from the atmosphere, the </w:t>
      </w:r>
      <w:proofErr w:type="gramStart"/>
      <w:r w:rsidRPr="00734AD3">
        <w:rPr>
          <w:rFonts w:ascii="Century Gothic" w:eastAsia="Times New Roman" w:hAnsi="Century Gothic"/>
          <w:sz w:val="22"/>
          <w:szCs w:val="22"/>
          <w:lang w:eastAsia="en-GB"/>
        </w:rPr>
        <w:t>iron(</w:t>
      </w:r>
      <w:proofErr w:type="gramEnd"/>
      <w:r w:rsidRPr="00734AD3">
        <w:rPr>
          <w:rFonts w:ascii="Century Gothic" w:eastAsia="Times New Roman" w:hAnsi="Century Gothic"/>
          <w:smallCaps/>
          <w:sz w:val="22"/>
          <w:szCs w:val="22"/>
          <w:lang w:eastAsia="en-GB"/>
        </w:rPr>
        <w:t>III</w:t>
      </w:r>
      <w:r w:rsidRPr="00734AD3">
        <w:rPr>
          <w:rFonts w:ascii="Century Gothic" w:eastAsia="Times New Roman" w:hAnsi="Century Gothic"/>
          <w:sz w:val="22"/>
          <w:szCs w:val="22"/>
          <w:lang w:eastAsia="en-GB"/>
        </w:rPr>
        <w:t>) oxide mixed through the melting aluminium acts as an oxidant. This means the reaction can continue to heat up and accelerate beyond the melting point of iron (1538°C) all the way up to iron’s boiling point (2861°C), provided the reaction scale is large enough.</w:t>
      </w:r>
    </w:p>
    <w:p w14:paraId="0B455618" w14:textId="6B2C041C" w:rsidR="008C2F85" w:rsidRPr="00AE25B1" w:rsidRDefault="00D0535F" w:rsidP="00957291">
      <w:pPr>
        <w:spacing w:after="160" w:line="259" w:lineRule="auto"/>
        <w:jc w:val="left"/>
        <w:outlineLvl w:val="9"/>
        <w:rPr>
          <w:rFonts w:ascii="Century Gothic" w:hAnsi="Century Gothic"/>
          <w:b/>
          <w:bCs/>
          <w:noProof/>
          <w:color w:val="8E1055"/>
          <w:sz w:val="28"/>
          <w:szCs w:val="22"/>
          <w:lang w:eastAsia="en-GB"/>
        </w:rPr>
      </w:pPr>
      <w:r>
        <w:rPr>
          <w:noProof/>
          <w:color w:val="8E1055"/>
          <w:lang w:eastAsia="en-GB"/>
        </w:rPr>
        <mc:AlternateContent>
          <mc:Choice Requires="wps">
            <w:drawing>
              <wp:anchor distT="0" distB="0" distL="114300" distR="114300" simplePos="0" relativeHeight="251658240" behindDoc="0" locked="0" layoutInCell="1" allowOverlap="1" wp14:anchorId="6E6E994A" wp14:editId="53042736">
                <wp:simplePos x="0" y="0"/>
                <wp:positionH relativeFrom="column">
                  <wp:posOffset>-161925</wp:posOffset>
                </wp:positionH>
                <wp:positionV relativeFrom="paragraph">
                  <wp:posOffset>255904</wp:posOffset>
                </wp:positionV>
                <wp:extent cx="6248400" cy="3381375"/>
                <wp:effectExtent l="19050" t="19050" r="19050" b="28575"/>
                <wp:wrapNone/>
                <wp:docPr id="45637471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48400" cy="3381375"/>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EFF63" id="Rectangle 1" o:spid="_x0000_s1026" alt="&quot;&quot;" style="position:absolute;margin-left:-12.75pt;margin-top:20.15pt;width:492pt;height:26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" filled="f" strokecolor="#991e66 [3204]" strokeweight="2.25pt"/>
            </w:pict>
          </mc:Fallback>
        </mc:AlternateContent>
      </w:r>
    </w:p>
    <w:p w14:paraId="2F2787C7" w14:textId="5033B823" w:rsidR="00104CB2" w:rsidRDefault="008C2F85" w:rsidP="00104CB2">
      <w:pPr>
        <w:pStyle w:val="RSCH2"/>
        <w:rPr>
          <w:color w:val="8E1055"/>
          <w:lang w:eastAsia="en-GB"/>
        </w:rPr>
      </w:pPr>
      <w:r>
        <w:rPr>
          <w:color w:val="8E1055"/>
          <w:lang w:eastAsia="en-GB"/>
        </w:rPr>
        <w:t>Health, safety and d</w:t>
      </w:r>
      <w:r w:rsidR="00071B48">
        <w:rPr>
          <w:color w:val="8E1055"/>
          <w:lang w:eastAsia="en-GB"/>
        </w:rPr>
        <w:t xml:space="preserve">isposal </w:t>
      </w:r>
    </w:p>
    <w:bookmarkEnd w:id="0"/>
    <w:p w14:paraId="789C2CEA" w14:textId="77777777" w:rsidR="00D0535F" w:rsidRPr="00D0535F" w:rsidRDefault="00D0535F" w:rsidP="00D0535F">
      <w:pPr>
        <w:numPr>
          <w:ilvl w:val="0"/>
          <w:numId w:val="29"/>
        </w:numPr>
        <w:spacing w:after="0" w:line="240" w:lineRule="auto"/>
        <w:ind w:left="1170" w:right="150"/>
        <w:jc w:val="left"/>
        <w:outlineLvl w:val="9"/>
        <w:rPr>
          <w:rFonts w:ascii="Century Gothic" w:eastAsia="Times New Roman" w:hAnsi="Century Gothic"/>
          <w:color w:val="333333"/>
          <w:sz w:val="22"/>
          <w:szCs w:val="22"/>
          <w:lang w:eastAsia="en-GB"/>
        </w:rPr>
      </w:pPr>
      <w:r w:rsidRPr="00D0535F">
        <w:rPr>
          <w:rFonts w:ascii="Century Gothic" w:eastAsia="Times New Roman" w:hAnsi="Century Gothic"/>
          <w:color w:val="333333"/>
          <w:sz w:val="22"/>
          <w:szCs w:val="22"/>
          <w:lang w:eastAsia="en-GB"/>
        </w:rPr>
        <w:t>Read our standard health and safety guidance and carry out a risk assessment before running a live demonstration (rsc.li/4mO9EVF). Consult your local safety advisory body for specific guidance. CLEAPSS members should consult </w:t>
      </w:r>
      <w:hyperlink r:id="rId15" w:history="1">
        <w:r w:rsidRPr="00D0535F">
          <w:rPr>
            <w:rFonts w:ascii="Century Gothic" w:eastAsia="Times New Roman" w:hAnsi="Century Gothic"/>
            <w:color w:val="0000FF"/>
            <w:sz w:val="22"/>
            <w:szCs w:val="22"/>
            <w:u w:val="single"/>
            <w:lang w:eastAsia="en-GB"/>
          </w:rPr>
          <w:t>L195</w:t>
        </w:r>
      </w:hyperlink>
      <w:r w:rsidRPr="00D0535F">
        <w:rPr>
          <w:rFonts w:ascii="Century Gothic" w:eastAsia="Times New Roman" w:hAnsi="Century Gothic"/>
          <w:color w:val="333333"/>
          <w:sz w:val="22"/>
          <w:szCs w:val="22"/>
          <w:lang w:eastAsia="en-GB"/>
        </w:rPr>
        <w:t> which this method follows. Do not deviate from the instructions or attempt to scale up the reaction.</w:t>
      </w:r>
    </w:p>
    <w:p w14:paraId="1A7409EA" w14:textId="77777777" w:rsidR="00D0535F" w:rsidRPr="00D0535F" w:rsidRDefault="00D0535F" w:rsidP="00D0535F">
      <w:pPr>
        <w:numPr>
          <w:ilvl w:val="0"/>
          <w:numId w:val="29"/>
        </w:numPr>
        <w:spacing w:after="0" w:line="240" w:lineRule="auto"/>
        <w:ind w:left="1170" w:right="150"/>
        <w:jc w:val="left"/>
        <w:outlineLvl w:val="9"/>
        <w:rPr>
          <w:rFonts w:ascii="Century Gothic" w:eastAsia="Times New Roman" w:hAnsi="Century Gothic"/>
          <w:color w:val="333333"/>
          <w:sz w:val="22"/>
          <w:szCs w:val="22"/>
          <w:lang w:eastAsia="en-GB"/>
        </w:rPr>
      </w:pPr>
      <w:r w:rsidRPr="00D0535F">
        <w:rPr>
          <w:rFonts w:ascii="Century Gothic" w:eastAsia="Times New Roman" w:hAnsi="Century Gothic"/>
          <w:color w:val="333333"/>
          <w:sz w:val="22"/>
          <w:szCs w:val="22"/>
          <w:lang w:eastAsia="en-GB"/>
        </w:rPr>
        <w:t>Always wear eye protection and a lab coat.</w:t>
      </w:r>
    </w:p>
    <w:p w14:paraId="70AD280D" w14:textId="77777777" w:rsidR="00D0535F" w:rsidRPr="00D0535F" w:rsidRDefault="00D0535F" w:rsidP="00D0535F">
      <w:pPr>
        <w:numPr>
          <w:ilvl w:val="0"/>
          <w:numId w:val="29"/>
        </w:numPr>
        <w:spacing w:after="0" w:line="240" w:lineRule="auto"/>
        <w:ind w:left="1170" w:right="150"/>
        <w:jc w:val="left"/>
        <w:outlineLvl w:val="9"/>
        <w:rPr>
          <w:rFonts w:ascii="Century Gothic" w:eastAsia="Times New Roman" w:hAnsi="Century Gothic"/>
          <w:color w:val="333333"/>
          <w:sz w:val="22"/>
          <w:szCs w:val="22"/>
          <w:lang w:eastAsia="en-GB"/>
        </w:rPr>
      </w:pPr>
      <w:r w:rsidRPr="00D0535F">
        <w:rPr>
          <w:rFonts w:ascii="Century Gothic" w:eastAsia="Times New Roman" w:hAnsi="Century Gothic"/>
          <w:color w:val="333333"/>
          <w:sz w:val="22"/>
          <w:szCs w:val="22"/>
          <w:lang w:eastAsia="en-GB"/>
        </w:rPr>
        <w:t>The aluminium powder, magnesium powder and magnesium ribbon are all flammable. The barium nitrate (V) is an oxidiser that is harmful if inhaled or ingested.</w:t>
      </w:r>
    </w:p>
    <w:p w14:paraId="7F3EC2A4" w14:textId="526929FD" w:rsidR="00D00AB5" w:rsidRPr="00D0535F" w:rsidRDefault="00D0535F" w:rsidP="00D0535F">
      <w:pPr>
        <w:numPr>
          <w:ilvl w:val="0"/>
          <w:numId w:val="29"/>
        </w:numPr>
        <w:spacing w:after="0" w:line="240" w:lineRule="auto"/>
        <w:ind w:left="1170" w:right="150"/>
        <w:jc w:val="left"/>
        <w:outlineLvl w:val="9"/>
        <w:rPr>
          <w:rFonts w:ascii="Century Gothic" w:eastAsia="Times New Roman" w:hAnsi="Century Gothic"/>
          <w:color w:val="333333"/>
          <w:sz w:val="22"/>
          <w:szCs w:val="22"/>
          <w:lang w:eastAsia="en-GB"/>
        </w:rPr>
      </w:pPr>
      <w:r w:rsidRPr="00D0535F">
        <w:rPr>
          <w:rFonts w:ascii="Century Gothic" w:eastAsia="Times New Roman" w:hAnsi="Century Gothic"/>
          <w:color w:val="333333"/>
          <w:sz w:val="22"/>
          <w:szCs w:val="22"/>
          <w:lang w:eastAsia="en-GB"/>
        </w:rPr>
        <w:t>Dispose of the reaction remnants in the normal bin. Unreacted powder requires treating first. Pour it into a beaker of dilute 1M or 2M hydrochloric acid or sulfuric acid and leave overnight in a fume cupboard. Check the next day that the remaining solution is still acidic. Collect any remaining solid by filtration, double bag it and put it in the bin. Pour the solution down a foul water drain with further dilution.</w:t>
      </w:r>
    </w:p>
    <w:sectPr w:rsidR="00D00AB5" w:rsidRPr="00D0535F" w:rsidSect="00231C1C">
      <w:headerReference w:type="default" r:id="rId16"/>
      <w:footerReference w:type="default" r:id="rId17"/>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7B22" w14:textId="77777777" w:rsidR="007A08F5" w:rsidRDefault="007A08F5" w:rsidP="008A1B0B">
      <w:pPr>
        <w:spacing w:after="0" w:line="240" w:lineRule="auto"/>
      </w:pPr>
      <w:r>
        <w:separator/>
      </w:r>
    </w:p>
  </w:endnote>
  <w:endnote w:type="continuationSeparator" w:id="0">
    <w:p w14:paraId="258893BD" w14:textId="77777777" w:rsidR="007A08F5" w:rsidRDefault="007A08F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F8098F2"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063306">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AB0D" w14:textId="77777777" w:rsidR="007A08F5" w:rsidRDefault="007A08F5" w:rsidP="008A1B0B">
      <w:pPr>
        <w:spacing w:after="0" w:line="240" w:lineRule="auto"/>
      </w:pPr>
      <w:r>
        <w:separator/>
      </w:r>
    </w:p>
  </w:footnote>
  <w:footnote w:type="continuationSeparator" w:id="0">
    <w:p w14:paraId="580626AB" w14:textId="77777777" w:rsidR="007A08F5" w:rsidRDefault="007A08F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346EAABC" w:rsidR="008A1B0B" w:rsidRDefault="00104CB2" w:rsidP="008D7A53">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DF7826">
      <w:rPr>
        <w:rFonts w:ascii="Century Gothic" w:hAnsi="Century Gothic"/>
        <w:b/>
        <w:bCs/>
        <w:noProof/>
        <w:color w:val="991E66"/>
        <w:sz w:val="30"/>
        <w:szCs w:val="30"/>
      </w:rPr>
      <w:drawing>
        <wp:anchor distT="0" distB="0" distL="114300" distR="114300" simplePos="0" relativeHeight="251658241"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DF7826">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071B48">
      <w:rPr>
        <w:rFonts w:ascii="Century Gothic" w:hAnsi="Century Gothic"/>
        <w:b/>
        <w:bCs/>
        <w:color w:val="991E66"/>
        <w:sz w:val="30"/>
        <w:szCs w:val="30"/>
      </w:rPr>
      <w:t xml:space="preserve">Exhibition </w:t>
    </w:r>
    <w:r w:rsidR="00071B48" w:rsidRPr="00B63F7E">
      <w:rPr>
        <w:rFonts w:ascii="Century Gothic" w:hAnsi="Century Gothic"/>
        <w:b/>
        <w:bCs/>
        <w:color w:val="991E66"/>
        <w:sz w:val="30"/>
        <w:szCs w:val="30"/>
      </w:rPr>
      <w:t>chemistry</w:t>
    </w:r>
    <w:r w:rsidR="00557BF2" w:rsidRPr="00DF7826">
      <w:rPr>
        <w:rFonts w:ascii="Century Gothic" w:hAnsi="Century Gothic"/>
        <w:b/>
        <w:bCs/>
        <w:color w:val="FF0000"/>
        <w:sz w:val="24"/>
        <w:szCs w:val="24"/>
      </w:rPr>
      <w:t xml:space="preserve"> </w:t>
    </w:r>
  </w:p>
  <w:p w14:paraId="014B122C" w14:textId="7FBDB280"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r w:rsidR="00413D93" w:rsidRPr="00413D93">
      <w:rPr>
        <w:b/>
        <w:bCs/>
        <w:color w:val="991E66" w:themeColor="accent1"/>
      </w:rPr>
      <w:t>rsc.li/4w44o4u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462987"/>
    <w:multiLevelType w:val="hybridMultilevel"/>
    <w:tmpl w:val="6E703936"/>
    <w:lvl w:ilvl="0" w:tplc="8CC26048">
      <w:start w:val="1"/>
      <w:numFmt w:val="bullet"/>
      <w:lvlText w:val=""/>
      <w:lvlJc w:val="left"/>
      <w:pPr>
        <w:ind w:left="720" w:hanging="360"/>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3A0764"/>
    <w:multiLevelType w:val="hybridMultilevel"/>
    <w:tmpl w:val="F1168DB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71290E"/>
    <w:multiLevelType w:val="hybridMultilevel"/>
    <w:tmpl w:val="6E203E78"/>
    <w:lvl w:ilvl="0" w:tplc="DE8C3E9E">
      <w:start w:val="1"/>
      <w:numFmt w:val="bullet"/>
      <w:pStyle w:val="RSCBulletedlist"/>
      <w:lvlText w:val=""/>
      <w:lvlJc w:val="left"/>
      <w:pPr>
        <w:ind w:left="363" w:hanging="363"/>
      </w:pPr>
      <w:rPr>
        <w:rFonts w:ascii="Symbol" w:hAnsi="Symbol" w:hint="default"/>
        <w:color w:val="991E66" w:themeColor="accen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D34E4"/>
    <w:multiLevelType w:val="hybridMultilevel"/>
    <w:tmpl w:val="5A40AD1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F635501"/>
    <w:multiLevelType w:val="multilevel"/>
    <w:tmpl w:val="92FC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6F0B44"/>
    <w:multiLevelType w:val="hybridMultilevel"/>
    <w:tmpl w:val="FA6CAFA4"/>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04422F"/>
    <w:multiLevelType w:val="hybridMultilevel"/>
    <w:tmpl w:val="A88A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0605598">
    <w:abstractNumId w:val="24"/>
  </w:num>
  <w:num w:numId="2" w16cid:durableId="46608390">
    <w:abstractNumId w:val="12"/>
  </w:num>
  <w:num w:numId="3" w16cid:durableId="767046158">
    <w:abstractNumId w:val="7"/>
  </w:num>
  <w:num w:numId="4" w16cid:durableId="1754862014">
    <w:abstractNumId w:val="10"/>
  </w:num>
  <w:num w:numId="5" w16cid:durableId="522865220">
    <w:abstractNumId w:val="21"/>
  </w:num>
  <w:num w:numId="6" w16cid:durableId="1092093063">
    <w:abstractNumId w:val="23"/>
  </w:num>
  <w:num w:numId="7" w16cid:durableId="1042751722">
    <w:abstractNumId w:val="3"/>
  </w:num>
  <w:num w:numId="8" w16cid:durableId="339281078">
    <w:abstractNumId w:val="6"/>
  </w:num>
  <w:num w:numId="9" w16cid:durableId="166483661">
    <w:abstractNumId w:val="5"/>
  </w:num>
  <w:num w:numId="10" w16cid:durableId="739593575">
    <w:abstractNumId w:val="4"/>
  </w:num>
  <w:num w:numId="11" w16cid:durableId="1035690940">
    <w:abstractNumId w:val="13"/>
  </w:num>
  <w:num w:numId="12" w16cid:durableId="1470199975">
    <w:abstractNumId w:val="4"/>
    <w:lvlOverride w:ilvl="0">
      <w:startOverride w:val="1"/>
    </w:lvlOverride>
  </w:num>
  <w:num w:numId="13" w16cid:durableId="1479612613">
    <w:abstractNumId w:val="19"/>
  </w:num>
  <w:num w:numId="14" w16cid:durableId="1674912029">
    <w:abstractNumId w:val="16"/>
  </w:num>
  <w:num w:numId="15" w16cid:durableId="2099716115">
    <w:abstractNumId w:val="11"/>
  </w:num>
  <w:num w:numId="16" w16cid:durableId="649024404">
    <w:abstractNumId w:val="0"/>
  </w:num>
  <w:num w:numId="17" w16cid:durableId="1550605262">
    <w:abstractNumId w:val="8"/>
  </w:num>
  <w:num w:numId="18" w16cid:durableId="181480924">
    <w:abstractNumId w:val="9"/>
  </w:num>
  <w:num w:numId="19" w16cid:durableId="2003771580">
    <w:abstractNumId w:val="5"/>
    <w:lvlOverride w:ilvl="0">
      <w:startOverride w:val="1"/>
    </w:lvlOverride>
  </w:num>
  <w:num w:numId="20" w16cid:durableId="2139297354">
    <w:abstractNumId w:val="22"/>
  </w:num>
  <w:num w:numId="21" w16cid:durableId="1368411444">
    <w:abstractNumId w:val="3"/>
  </w:num>
  <w:num w:numId="22" w16cid:durableId="1597057039">
    <w:abstractNumId w:val="18"/>
  </w:num>
  <w:num w:numId="23" w16cid:durableId="1359821052">
    <w:abstractNumId w:val="14"/>
  </w:num>
  <w:num w:numId="24" w16cid:durableId="1433546299">
    <w:abstractNumId w:val="25"/>
  </w:num>
  <w:num w:numId="25" w16cid:durableId="987248214">
    <w:abstractNumId w:val="15"/>
  </w:num>
  <w:num w:numId="26" w16cid:durableId="1344473954">
    <w:abstractNumId w:val="20"/>
  </w:num>
  <w:num w:numId="27" w16cid:durableId="1075275792">
    <w:abstractNumId w:val="2"/>
  </w:num>
  <w:num w:numId="28" w16cid:durableId="1598055595">
    <w:abstractNumId w:val="1"/>
  </w:num>
  <w:num w:numId="29" w16cid:durableId="772906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624"/>
    <w:rsid w:val="00022B65"/>
    <w:rsid w:val="00046615"/>
    <w:rsid w:val="0005730B"/>
    <w:rsid w:val="00063306"/>
    <w:rsid w:val="00071B48"/>
    <w:rsid w:val="00076EEA"/>
    <w:rsid w:val="000878DA"/>
    <w:rsid w:val="00087C7B"/>
    <w:rsid w:val="0009292F"/>
    <w:rsid w:val="000B0210"/>
    <w:rsid w:val="000B0FE6"/>
    <w:rsid w:val="000E6E48"/>
    <w:rsid w:val="000F42A9"/>
    <w:rsid w:val="00104CB2"/>
    <w:rsid w:val="00122D31"/>
    <w:rsid w:val="00146FCD"/>
    <w:rsid w:val="00147637"/>
    <w:rsid w:val="00170732"/>
    <w:rsid w:val="00180C62"/>
    <w:rsid w:val="001A278F"/>
    <w:rsid w:val="001C5890"/>
    <w:rsid w:val="001D1067"/>
    <w:rsid w:val="001D70A7"/>
    <w:rsid w:val="002304A7"/>
    <w:rsid w:val="00231C1C"/>
    <w:rsid w:val="002549BE"/>
    <w:rsid w:val="00255470"/>
    <w:rsid w:val="00260D45"/>
    <w:rsid w:val="00277EDA"/>
    <w:rsid w:val="002A3C79"/>
    <w:rsid w:val="002B06C9"/>
    <w:rsid w:val="002B40B1"/>
    <w:rsid w:val="002C2223"/>
    <w:rsid w:val="002D34BA"/>
    <w:rsid w:val="002E47CA"/>
    <w:rsid w:val="002F2A90"/>
    <w:rsid w:val="002F35A3"/>
    <w:rsid w:val="003059AB"/>
    <w:rsid w:val="003066BC"/>
    <w:rsid w:val="00307510"/>
    <w:rsid w:val="00345DC6"/>
    <w:rsid w:val="00362CD9"/>
    <w:rsid w:val="003716B9"/>
    <w:rsid w:val="0037292E"/>
    <w:rsid w:val="00383A44"/>
    <w:rsid w:val="003979ED"/>
    <w:rsid w:val="003B7300"/>
    <w:rsid w:val="003C643A"/>
    <w:rsid w:val="003D6657"/>
    <w:rsid w:val="003E22FD"/>
    <w:rsid w:val="00413567"/>
    <w:rsid w:val="00413D93"/>
    <w:rsid w:val="00414DC8"/>
    <w:rsid w:val="0044650F"/>
    <w:rsid w:val="00446F05"/>
    <w:rsid w:val="0046389A"/>
    <w:rsid w:val="00485CEA"/>
    <w:rsid w:val="004F325A"/>
    <w:rsid w:val="00512B6D"/>
    <w:rsid w:val="00516F80"/>
    <w:rsid w:val="0052289F"/>
    <w:rsid w:val="0055336A"/>
    <w:rsid w:val="00557BF2"/>
    <w:rsid w:val="00577338"/>
    <w:rsid w:val="00586809"/>
    <w:rsid w:val="005A5001"/>
    <w:rsid w:val="005B4AFE"/>
    <w:rsid w:val="005C4D6A"/>
    <w:rsid w:val="005F286E"/>
    <w:rsid w:val="00623DCE"/>
    <w:rsid w:val="006820BE"/>
    <w:rsid w:val="006D790E"/>
    <w:rsid w:val="006E13FB"/>
    <w:rsid w:val="007042E5"/>
    <w:rsid w:val="00734AD3"/>
    <w:rsid w:val="00747E9A"/>
    <w:rsid w:val="00747FE6"/>
    <w:rsid w:val="00752627"/>
    <w:rsid w:val="0077600A"/>
    <w:rsid w:val="007A08F5"/>
    <w:rsid w:val="007B56F2"/>
    <w:rsid w:val="007C1710"/>
    <w:rsid w:val="00803338"/>
    <w:rsid w:val="0081721A"/>
    <w:rsid w:val="00835B9C"/>
    <w:rsid w:val="00862463"/>
    <w:rsid w:val="00886075"/>
    <w:rsid w:val="0089187A"/>
    <w:rsid w:val="00893B8E"/>
    <w:rsid w:val="00893F3D"/>
    <w:rsid w:val="008A1B0B"/>
    <w:rsid w:val="008B34F9"/>
    <w:rsid w:val="008B54F1"/>
    <w:rsid w:val="008C2F85"/>
    <w:rsid w:val="008D57EC"/>
    <w:rsid w:val="008D7A53"/>
    <w:rsid w:val="00905E09"/>
    <w:rsid w:val="00912831"/>
    <w:rsid w:val="009272D0"/>
    <w:rsid w:val="00942047"/>
    <w:rsid w:val="00957291"/>
    <w:rsid w:val="009C0A41"/>
    <w:rsid w:val="009E45DB"/>
    <w:rsid w:val="00A13442"/>
    <w:rsid w:val="00A5348B"/>
    <w:rsid w:val="00A571EB"/>
    <w:rsid w:val="00A5740C"/>
    <w:rsid w:val="00A614BE"/>
    <w:rsid w:val="00A725C3"/>
    <w:rsid w:val="00AA2485"/>
    <w:rsid w:val="00AE25B1"/>
    <w:rsid w:val="00B226A7"/>
    <w:rsid w:val="00B26CA8"/>
    <w:rsid w:val="00B30A6E"/>
    <w:rsid w:val="00B32882"/>
    <w:rsid w:val="00B4295E"/>
    <w:rsid w:val="00B63F7E"/>
    <w:rsid w:val="00B67A03"/>
    <w:rsid w:val="00B71E66"/>
    <w:rsid w:val="00B95DE7"/>
    <w:rsid w:val="00BA3729"/>
    <w:rsid w:val="00C1703F"/>
    <w:rsid w:val="00C43346"/>
    <w:rsid w:val="00CA7FA9"/>
    <w:rsid w:val="00CD3159"/>
    <w:rsid w:val="00CD3907"/>
    <w:rsid w:val="00CD5E3C"/>
    <w:rsid w:val="00CF6E3E"/>
    <w:rsid w:val="00D00AB5"/>
    <w:rsid w:val="00D0535F"/>
    <w:rsid w:val="00D17CC0"/>
    <w:rsid w:val="00D459D0"/>
    <w:rsid w:val="00D45D99"/>
    <w:rsid w:val="00D60D30"/>
    <w:rsid w:val="00D72F43"/>
    <w:rsid w:val="00DB18D5"/>
    <w:rsid w:val="00DC0D9C"/>
    <w:rsid w:val="00DD432E"/>
    <w:rsid w:val="00DF7826"/>
    <w:rsid w:val="00E95DE4"/>
    <w:rsid w:val="00EC7EFF"/>
    <w:rsid w:val="00F74583"/>
    <w:rsid w:val="00F80ECB"/>
    <w:rsid w:val="00FC3B24"/>
    <w:rsid w:val="00FC530F"/>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3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customStyle="1" w:styleId="Standard">
    <w:name w:val="Standard"/>
    <w:uiPriority w:val="99"/>
    <w:semiHidden/>
    <w:rsid w:val="00071B48"/>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000624"/>
    <w:rPr>
      <w:sz w:val="16"/>
      <w:szCs w:val="16"/>
    </w:rPr>
  </w:style>
  <w:style w:type="paragraph" w:styleId="CommentText0">
    <w:name w:val="annotation text"/>
    <w:basedOn w:val="Normal"/>
    <w:link w:val="CommentTextChar"/>
    <w:uiPriority w:val="99"/>
    <w:unhideWhenUsed/>
    <w:rsid w:val="00000624"/>
    <w:pPr>
      <w:spacing w:line="240" w:lineRule="auto"/>
    </w:pPr>
  </w:style>
  <w:style w:type="character" w:customStyle="1" w:styleId="CommentTextChar">
    <w:name w:val="Comment Text Char"/>
    <w:basedOn w:val="DefaultParagraphFont"/>
    <w:link w:val="CommentText0"/>
    <w:uiPriority w:val="99"/>
    <w:rsid w:val="0000062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00624"/>
    <w:rPr>
      <w:b/>
      <w:bCs/>
    </w:rPr>
  </w:style>
  <w:style w:type="character" w:customStyle="1" w:styleId="CommentSubjectChar">
    <w:name w:val="Comment Subject Char"/>
    <w:basedOn w:val="CommentTextChar"/>
    <w:link w:val="CommentSubject"/>
    <w:uiPriority w:val="99"/>
    <w:semiHidden/>
    <w:rsid w:val="00000624"/>
    <w:rPr>
      <w:rFonts w:ascii="Arial" w:hAnsi="Arial" w:cs="Arial"/>
      <w:b/>
      <w:bCs/>
      <w:sz w:val="20"/>
      <w:szCs w:val="20"/>
      <w:lang w:eastAsia="zh-CN"/>
    </w:rPr>
  </w:style>
  <w:style w:type="character" w:styleId="PlaceholderText">
    <w:name w:val="Placeholder Text"/>
    <w:basedOn w:val="DefaultParagraphFont"/>
    <w:uiPriority w:val="99"/>
    <w:semiHidden/>
    <w:rsid w:val="00912831"/>
    <w:rPr>
      <w:color w:val="666666"/>
    </w:rPr>
  </w:style>
  <w:style w:type="paragraph" w:styleId="Caption">
    <w:name w:val="caption"/>
    <w:basedOn w:val="Normal"/>
    <w:next w:val="Normal"/>
    <w:uiPriority w:val="35"/>
    <w:unhideWhenUsed/>
    <w:qFormat/>
    <w:rsid w:val="0037292E"/>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9C0A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40B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emix.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emix.org" TargetMode="External"/><Relationship Id="rId5" Type="http://schemas.openxmlformats.org/officeDocument/2006/relationships/numbering" Target="numbering.xml"/><Relationship Id="rId15" Type="http://schemas.openxmlformats.org/officeDocument/2006/relationships/hyperlink" Target="https://science.cleapss.org.uk/Resource-Info/L195-Safer-chemicals-safer-reactions.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cleapss.org.uk/Resource-Info/L195-Safer-chemicals-safer-reactions.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2b904c-5b1b-4754-bd9d-7ea4f1bdbcd1">
      <Terms xmlns="http://schemas.microsoft.com/office/infopath/2007/PartnerControls"/>
    </lcf76f155ced4ddcb4097134ff3c332f>
    <TaxCatchAll xmlns="44303df1-f625-401d-870a-accd1b2b7593">
      <Value>33</Value>
      <Value>30</Value>
      <Value>46</Value>
      <Value>7</Value>
      <Value>52</Value>
      <Value>34</Value>
    </TaxCatchAll>
    <b9de0c3256d748e284af5b40895c1451 xmlns="f32b904c-5b1b-4754-bd9d-7ea4f1bdbcd1">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s>
    </b9de0c3256d748e284af5b40895c1451>
    <n7b504db7a1f4121af62d7dde2f43036 xmlns="f32b904c-5b1b-4754-bd9d-7ea4f1bdbcd1">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b569b86bd8fd46f693512e8bddacb3f6 xmlns="f32b904c-5b1b-4754-bd9d-7ea4f1bdbcd1">
      <Terms xmlns="http://schemas.microsoft.com/office/infopath/2007/PartnerControls">
        <TermInfo xmlns="http://schemas.microsoft.com/office/infopath/2007/PartnerControls">
          <TermName xmlns="http://schemas.microsoft.com/office/infopath/2007/PartnerControls">Technician Notes</TermName>
          <TermId xmlns="http://schemas.microsoft.com/office/infopath/2007/PartnerControls">afafb102-19b7-4874-b073-d04e9c6822ef</TermId>
        </TermInfo>
      </Terms>
    </b569b86bd8fd46f693512e8bddacb3f6>
    <i10d55677a0f46eeb3909f8b19131c80 xmlns="f32b904c-5b1b-4754-bd9d-7ea4f1bdbcd1">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d5ec952c3671439b9c1b97dc2ac5212f xmlns="f32b904c-5b1b-4754-bd9d-7ea4f1bdbcd1">
      <Terms xmlns="http://schemas.microsoft.com/office/infopath/2007/PartnerControls">
        <TermInfo xmlns="http://schemas.microsoft.com/office/infopath/2007/PartnerControls">
          <TermName xmlns="http://schemas.microsoft.com/office/infopath/2007/PartnerControls">May</TermName>
          <TermId xmlns="http://schemas.microsoft.com/office/infopath/2007/PartnerControls">a6210bed-b004-4c75-b500-d97bdacfe9f5</TermId>
        </TermInfo>
        <TermInfo xmlns="http://schemas.microsoft.com/office/infopath/2007/PartnerControls">
          <TermName xmlns="http://schemas.microsoft.com/office/infopath/2007/PartnerControls">2026</TermName>
          <TermId xmlns="http://schemas.microsoft.com/office/infopath/2007/PartnerControls">7e6aac3d-800f-4302-944f-6a5eec8e3838</TermId>
        </TermInfo>
      </Terms>
    </d5ec952c3671439b9c1b97dc2ac521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E432B100E3E245A16AAF28448BD44C" ma:contentTypeVersion="22" ma:contentTypeDescription="Create a new document." ma:contentTypeScope="" ma:versionID="5a33cdac519218d0b657d39ea553922e">
  <xsd:schema xmlns:xsd="http://www.w3.org/2001/XMLSchema" xmlns:xs="http://www.w3.org/2001/XMLSchema" xmlns:p="http://schemas.microsoft.com/office/2006/metadata/properties" xmlns:ns2="f32b904c-5b1b-4754-bd9d-7ea4f1bdbcd1" xmlns:ns3="44303df1-f625-401d-870a-accd1b2b7593" targetNamespace="http://schemas.microsoft.com/office/2006/metadata/properties" ma:root="true" ma:fieldsID="7dcf2bc5ca9ae939a1bb9ff49957fbd8" ns2:_="" ns3:_="">
    <xsd:import namespace="f32b904c-5b1b-4754-bd9d-7ea4f1bdbcd1"/>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b904c-5b1b-4754-bd9d-7ea4f1bdbcd1"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default="7;#Education|6f01d4b6-f8a8-4b3c-8e47-a0b2d31f46b9"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default="30;#Education|d2840a79-f070-44ee-81f4-348f0646ea6c"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default="33;#Education in Chemistry|88c676fb-4f12-4aea-9455-9b66df1d1cf1"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1C2D7-B1C9-4E11-8EF8-6E5BC4B07E62}">
  <ds:schemaRefs>
    <ds:schemaRef ds:uri="http://schemas.microsoft.com/office/2006/documentManagement/types"/>
    <ds:schemaRef ds:uri="f32b904c-5b1b-4754-bd9d-7ea4f1bdbcd1"/>
    <ds:schemaRef ds:uri="http://www.w3.org/XML/1998/namespace"/>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44303df1-f625-401d-870a-accd1b2b7593"/>
    <ds:schemaRef ds:uri="http://schemas.microsoft.com/office/2006/metadata/properties"/>
  </ds:schemaRefs>
</ds:datastoreItem>
</file>

<file path=customXml/itemProps2.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customXml/itemProps3.xml><?xml version="1.0" encoding="utf-8"?>
<ds:datastoreItem xmlns:ds="http://schemas.openxmlformats.org/officeDocument/2006/customXml" ds:itemID="{695534F9-C6B9-4499-ABE0-ECDE13DF9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b904c-5b1b-4754-bd9d-7ea4f1bdbcd1"/>
    <ds:schemaRef ds:uri="44303df1-f625-401d-870a-accd1b2b7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BFE37-7B80-453D-86A8-A38450257C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1143</Words>
  <Characters>5652</Characters>
  <Application>Microsoft Office Word</Application>
  <DocSecurity>0</DocSecurity>
  <Lines>148</Lines>
  <Paragraphs>81</Paragraphs>
  <ScaleCrop>false</ScaleCrop>
  <HeadingPairs>
    <vt:vector size="2" baseType="variant">
      <vt:variant>
        <vt:lpstr>Title</vt:lpstr>
      </vt:variant>
      <vt:variant>
        <vt:i4>1</vt:i4>
      </vt:variant>
    </vt:vector>
  </HeadingPairs>
  <TitlesOfParts>
    <vt:vector size="1" baseType="lpstr">
      <vt:lpstr>Thermite in a flowerpot technician notes</vt:lpstr>
    </vt:vector>
  </TitlesOfParts>
  <Manager/>
  <Company>Royal Society of Chemistry</Company>
  <LinksUpToDate>false</LinksUpToDate>
  <CharactersWithSpaces>6714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Microscale thermite technician notes</dc:title>
  <dc:subject/>
  <dc:creator>Royal Society of Chemistry</dc:creator>
  <cp:keywords>science, demonstration, microscale, technician notes, technician, demonstration, chemistry, thermite, reaction, redox, 14-16</cp:keywords>
  <dc:description>From Thermite under a beaker Education in Chemistry, https://rsc.li/4w44o4u</dc:description>
  <cp:lastModifiedBy>Emily Kelly</cp:lastModifiedBy>
  <cp:revision>31</cp:revision>
  <dcterms:created xsi:type="dcterms:W3CDTF">2026-03-11T10:33:00Z</dcterms:created>
  <dcterms:modified xsi:type="dcterms:W3CDTF">2026-04-29T14:04:00Z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0x010100DDE432B100E3E245A16AAF28448BD44C</vt:lpwstr>
  </property>
  <property fmtid="{D5CDD505-2E9C-101B-9397-08002B2CF9AE}" pid="3" name="Document_x0020_Type">
    <vt:lpwstr>46;#Technician Notes|afafb102-19b7-4874-b073-d04e9c6822ef</vt:lpwstr>
  </property>
  <property fmtid="{D5CDD505-2E9C-101B-9397-08002B2CF9AE}" pid="4" name="Project/Product">
    <vt:lpwstr>33;#Education in Chemistry|88c676fb-4f12-4aea-9455-9b66df1d1cf1</vt:lpwstr>
  </property>
  <property fmtid="{D5CDD505-2E9C-101B-9397-08002B2CF9AE}" pid="5" name="MediaServiceImageTags">
    <vt:lpwstr/>
  </property>
  <property fmtid="{D5CDD505-2E9C-101B-9397-08002B2CF9AE}" pid="6" name="Platform_x002f_Software">
    <vt:lpwstr>30;#Education|d2840a79-f070-44ee-81f4-348f0646ea6c</vt:lpwstr>
  </property>
  <property fmtid="{D5CDD505-2E9C-101B-9397-08002B2CF9AE}" pid="7" name="Watchword">
    <vt:lpwstr>34;#May|a6210bed-b004-4c75-b500-d97bdacfe9f5;#52;#2026|7e6aac3d-800f-4302-944f-6a5eec8e3838</vt:lpwstr>
  </property>
  <property fmtid="{D5CDD505-2E9C-101B-9397-08002B2CF9AE}" pid="8" name="Platform/Software">
    <vt:lpwstr>30;#Education|d2840a79-f070-44ee-81f4-348f0646ea6c</vt:lpwstr>
  </property>
  <property fmtid="{D5CDD505-2E9C-101B-9397-08002B2CF9AE}" pid="9" name="Document Type">
    <vt:lpwstr>46;#Technician Notes|afafb102-19b7-4874-b073-d04e9c6822ef</vt:lpwstr>
  </property>
  <property fmtid="{D5CDD505-2E9C-101B-9397-08002B2CF9AE}" pid="10" name="Project_x002f_Product">
    <vt:lpwstr>33;#Education in Chemistry|88c676fb-4f12-4aea-9455-9b66df1d1cf1</vt:lpwstr>
  </property>
  <property fmtid="{D5CDD505-2E9C-101B-9397-08002B2CF9AE}" pid="11" name="Directorate_x002f_Team_x002f_Function">
    <vt:lpwstr>7;#Education|6f01d4b6-f8a8-4b3c-8e47-a0b2d31f46b9</vt:lpwstr>
  </property>
  <property fmtid="{D5CDD505-2E9C-101B-9397-08002B2CF9AE}" pid="12" name="Directorate/Team/Function">
    <vt:lpwstr>7;#Education|6f01d4b6-f8a8-4b3c-8e47-a0b2d31f46b9</vt:lpwstr>
  </property>
</Properties>
</file>