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7347" w14:textId="017A9E7B" w:rsidR="00A5740C" w:rsidRDefault="003106F1" w:rsidP="007859BF">
      <w:pPr>
        <w:pStyle w:val="RSCH1"/>
      </w:pPr>
      <w:r>
        <w:t xml:space="preserve">Leaf </w:t>
      </w:r>
      <w:r w:rsidR="001A1813">
        <w:t>c</w:t>
      </w:r>
      <w:r>
        <w:t>hromatography</w:t>
      </w:r>
    </w:p>
    <w:p w14:paraId="4161767F" w14:textId="3D429EDB" w:rsidR="008C2A7A" w:rsidRDefault="008C2A7A" w:rsidP="00AB639C">
      <w:pPr>
        <w:pStyle w:val="RSCH2"/>
        <w:rPr>
          <w:b w:val="0"/>
          <w:bCs w:val="0"/>
          <w:color w:val="auto"/>
          <w:sz w:val="22"/>
          <w:lang w:eastAsia="en-GB"/>
        </w:rPr>
      </w:pPr>
      <w:r w:rsidRPr="00967DDB">
        <w:rPr>
          <w:b w:val="0"/>
          <w:bCs w:val="0"/>
          <w:color w:val="auto"/>
          <w:sz w:val="22"/>
          <w:lang w:eastAsia="en-GB"/>
        </w:rPr>
        <w:t>This investigation is part of the </w:t>
      </w:r>
      <w:r w:rsidRPr="00C85409">
        <w:rPr>
          <w:color w:val="auto"/>
          <w:sz w:val="22"/>
          <w:lang w:eastAsia="en-GB"/>
        </w:rPr>
        <w:t>Nuffield practical collection</w:t>
      </w:r>
      <w:r w:rsidRPr="00967DDB">
        <w:rPr>
          <w:b w:val="0"/>
          <w:bCs w:val="0"/>
          <w:color w:val="auto"/>
          <w:sz w:val="22"/>
          <w:lang w:eastAsia="en-GB"/>
        </w:rPr>
        <w:t>, developed by the Nuffield Foundation and the Royal Society of Chemistry. Delve into a wide range of chemical concepts and processes with this collection of over 200 step-by-step </w:t>
      </w:r>
      <w:proofErr w:type="spellStart"/>
      <w:r w:rsidRPr="00967DDB">
        <w:rPr>
          <w:b w:val="0"/>
          <w:bCs w:val="0"/>
          <w:color w:val="auto"/>
          <w:sz w:val="22"/>
          <w:lang w:eastAsia="en-GB"/>
        </w:rPr>
        <w:t>practicals</w:t>
      </w:r>
      <w:proofErr w:type="spellEnd"/>
      <w:r w:rsidRPr="00967DDB">
        <w:rPr>
          <w:b w:val="0"/>
          <w:bCs w:val="0"/>
          <w:color w:val="auto"/>
          <w:sz w:val="22"/>
          <w:lang w:eastAsia="en-GB"/>
        </w:rPr>
        <w:t>: </w:t>
      </w:r>
      <w:hyperlink r:id="rId11" w:tgtFrame="_blank" w:history="1">
        <w:r w:rsidRPr="00C85409">
          <w:rPr>
            <w:rStyle w:val="Hyperlink"/>
            <w:b w:val="0"/>
            <w:bCs w:val="0"/>
            <w:color w:val="C8102E"/>
            <w:sz w:val="22"/>
            <w:lang w:eastAsia="en-GB"/>
          </w:rPr>
          <w:t>rsc.li/43bjGql</w:t>
        </w:r>
      </w:hyperlink>
      <w:r w:rsidRPr="00967DDB">
        <w:rPr>
          <w:b w:val="0"/>
          <w:bCs w:val="0"/>
          <w:color w:val="auto"/>
          <w:sz w:val="22"/>
          <w:lang w:eastAsia="en-GB"/>
        </w:rPr>
        <w:t>  </w:t>
      </w:r>
    </w:p>
    <w:p w14:paraId="65138B1A" w14:textId="77777777" w:rsidR="00AB639C" w:rsidRDefault="00AB639C" w:rsidP="00AB639C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p w14:paraId="72C311E9" w14:textId="35BF34E0" w:rsidR="00E54D02" w:rsidRPr="00E54D02" w:rsidRDefault="00E54D02" w:rsidP="00E54D02">
      <w:pPr>
        <w:pStyle w:val="RSCLearningobjectives"/>
        <w:rPr>
          <w:lang w:eastAsia="en-GB"/>
        </w:rPr>
      </w:pPr>
      <w:r w:rsidRPr="00E54D02">
        <w:rPr>
          <w:lang w:eastAsia="en-GB"/>
        </w:rPr>
        <w:t xml:space="preserve">Carry out paper chromatography to find the pigments present in leaves and calculate their </w:t>
      </w:r>
      <w:r w:rsidRPr="004C30DA">
        <w:rPr>
          <w:i/>
          <w:iCs/>
          <w:lang w:eastAsia="en-GB"/>
        </w:rPr>
        <w:t>R</w:t>
      </w:r>
      <w:r w:rsidRPr="00E54D02">
        <w:rPr>
          <w:vertAlign w:val="subscript"/>
          <w:lang w:eastAsia="en-GB"/>
        </w:rPr>
        <w:t>f</w:t>
      </w:r>
      <w:r w:rsidRPr="00E54D02">
        <w:rPr>
          <w:lang w:eastAsia="en-GB"/>
        </w:rPr>
        <w:t xml:space="preserve"> values</w:t>
      </w:r>
      <w:r w:rsidR="00CE2671">
        <w:rPr>
          <w:lang w:eastAsia="en-GB"/>
        </w:rPr>
        <w:t>.</w:t>
      </w:r>
    </w:p>
    <w:p w14:paraId="4B3281D3" w14:textId="34BC304D" w:rsidR="00C45300" w:rsidRPr="00C45300" w:rsidRDefault="00C45300" w:rsidP="00C45300">
      <w:pPr>
        <w:pStyle w:val="RSCLearningobjectives"/>
        <w:rPr>
          <w:lang w:eastAsia="en-GB"/>
        </w:rPr>
      </w:pPr>
      <w:r w:rsidRPr="00C45300">
        <w:rPr>
          <w:lang w:eastAsia="en-GB"/>
        </w:rPr>
        <w:t>Identify stationary and mobile phases in paper chromatography</w:t>
      </w:r>
      <w:r w:rsidR="00CE2671">
        <w:rPr>
          <w:lang w:eastAsia="en-GB"/>
        </w:rPr>
        <w:t>.</w:t>
      </w:r>
    </w:p>
    <w:p w14:paraId="6BAB65C0" w14:textId="4D15D48F" w:rsidR="00C45300" w:rsidRPr="00C45300" w:rsidRDefault="00C45300" w:rsidP="00C45300">
      <w:pPr>
        <w:pStyle w:val="RSCLearningobjectives"/>
        <w:rPr>
          <w:lang w:eastAsia="en-GB"/>
        </w:rPr>
      </w:pPr>
      <w:r w:rsidRPr="00C45300">
        <w:rPr>
          <w:lang w:eastAsia="en-GB"/>
        </w:rPr>
        <w:t>Describe what the chromatogram can tell us about substances</w:t>
      </w:r>
      <w:r w:rsidR="00CE2671">
        <w:rPr>
          <w:lang w:eastAsia="en-GB"/>
        </w:rPr>
        <w:t>.</w:t>
      </w:r>
    </w:p>
    <w:p w14:paraId="296B5862" w14:textId="298F61E5" w:rsidR="00C45300" w:rsidRPr="00C45300" w:rsidRDefault="00C45300" w:rsidP="00C45300">
      <w:pPr>
        <w:pStyle w:val="RSCLearningobjectives"/>
        <w:rPr>
          <w:lang w:eastAsia="en-GB"/>
        </w:rPr>
      </w:pPr>
      <w:r w:rsidRPr="00C45300">
        <w:rPr>
          <w:lang w:eastAsia="en-GB"/>
        </w:rPr>
        <w:t>Explain why water is not always used as the solvent in chromatography</w:t>
      </w:r>
      <w:r w:rsidR="00CE2671">
        <w:rPr>
          <w:lang w:eastAsia="en-GB"/>
        </w:rPr>
        <w:t>.</w:t>
      </w:r>
    </w:p>
    <w:p w14:paraId="04249F02" w14:textId="77777777" w:rsidR="00AB639C" w:rsidRDefault="00AB639C" w:rsidP="00AB639C">
      <w:pPr>
        <w:pStyle w:val="RSCBasictext"/>
        <w:rPr>
          <w:lang w:eastAsia="en-GB"/>
        </w:rPr>
      </w:pPr>
    </w:p>
    <w:p w14:paraId="0BF4BF29" w14:textId="04C27D1D" w:rsidR="00AB639C" w:rsidRDefault="00C45300" w:rsidP="00AB639C">
      <w:pPr>
        <w:pStyle w:val="RSCBasictext"/>
        <w:rPr>
          <w:lang w:eastAsia="en-GB"/>
        </w:rPr>
      </w:pPr>
      <w:r>
        <w:rPr>
          <w:lang w:eastAsia="en-GB"/>
        </w:rPr>
        <w:t xml:space="preserve">During the practical activity, </w:t>
      </w:r>
      <w:r w:rsidR="00B825E7">
        <w:rPr>
          <w:lang w:eastAsia="en-GB"/>
        </w:rPr>
        <w:t xml:space="preserve">learners </w:t>
      </w:r>
      <w:r>
        <w:rPr>
          <w:lang w:eastAsia="en-GB"/>
        </w:rPr>
        <w:t xml:space="preserve">will build understanding of how paper chromatography experiments are carried out. </w:t>
      </w:r>
      <w:r w:rsidR="008A3EBB">
        <w:rPr>
          <w:lang w:eastAsia="en-GB"/>
        </w:rPr>
        <w:t>Use</w:t>
      </w:r>
      <w:r>
        <w:rPr>
          <w:lang w:eastAsia="en-GB"/>
        </w:rPr>
        <w:t xml:space="preserve"> questioning whil</w:t>
      </w:r>
      <w:r w:rsidR="00A162EE">
        <w:rPr>
          <w:lang w:eastAsia="en-GB"/>
        </w:rPr>
        <w:t>e</w:t>
      </w:r>
      <w:r>
        <w:rPr>
          <w:lang w:eastAsia="en-GB"/>
        </w:rPr>
        <w:t xml:space="preserve"> setting up the practical and analysing the results </w:t>
      </w:r>
      <w:r w:rsidR="008A3EBB">
        <w:rPr>
          <w:lang w:eastAsia="en-GB"/>
        </w:rPr>
        <w:t>to</w:t>
      </w:r>
      <w:r>
        <w:rPr>
          <w:lang w:eastAsia="en-GB"/>
        </w:rPr>
        <w:t xml:space="preserve"> develop</w:t>
      </w:r>
      <w:r w:rsidR="008A3EBB">
        <w:rPr>
          <w:lang w:eastAsia="en-GB"/>
        </w:rPr>
        <w:t xml:space="preserve"> your learners’</w:t>
      </w:r>
      <w:r>
        <w:rPr>
          <w:lang w:eastAsia="en-GB"/>
        </w:rPr>
        <w:t xml:space="preserve"> understanding of stationary and mobile phases, as well as what chromatograms can tell us about relative solubilities of pigments and </w:t>
      </w:r>
      <w:r w:rsidR="00D33DFE">
        <w:rPr>
          <w:lang w:eastAsia="en-GB"/>
        </w:rPr>
        <w:t xml:space="preserve">relative attractions towards the chromatography paper. </w:t>
      </w:r>
    </w:p>
    <w:p w14:paraId="6ED09B95" w14:textId="72265C68" w:rsidR="00D33DFE" w:rsidRDefault="003D007E" w:rsidP="00AB639C">
      <w:pPr>
        <w:pStyle w:val="RSCBasictext"/>
        <w:rPr>
          <w:lang w:eastAsia="en-GB"/>
        </w:rPr>
      </w:pPr>
      <w:r>
        <w:rPr>
          <w:lang w:eastAsia="en-GB"/>
        </w:rPr>
        <w:t>You</w:t>
      </w:r>
      <w:r w:rsidR="00D33DFE">
        <w:rPr>
          <w:lang w:eastAsia="en-GB"/>
        </w:rPr>
        <w:t xml:space="preserve"> may wish to set up an example chromatogram where water is used to </w:t>
      </w:r>
      <w:r w:rsidR="00A2026D">
        <w:rPr>
          <w:lang w:eastAsia="en-GB"/>
        </w:rPr>
        <w:t xml:space="preserve">clearly illustrate learning objective 4. </w:t>
      </w:r>
    </w:p>
    <w:p w14:paraId="4905806C" w14:textId="59E4B91B" w:rsidR="00362CC1" w:rsidRDefault="003E3E15" w:rsidP="00AB639C">
      <w:pPr>
        <w:pStyle w:val="RSCH2"/>
        <w:rPr>
          <w:lang w:eastAsia="en-GB"/>
        </w:rPr>
      </w:pPr>
      <w:r>
        <w:rPr>
          <w:lang w:eastAsia="en-GB"/>
        </w:rPr>
        <w:t>Scaffolding</w:t>
      </w:r>
    </w:p>
    <w:p w14:paraId="360226E6" w14:textId="6207E195" w:rsidR="00A2026D" w:rsidRDefault="00A2026D" w:rsidP="00056090">
      <w:pPr>
        <w:pStyle w:val="RSC2-columntabs"/>
        <w:rPr>
          <w:lang w:eastAsia="en-GB"/>
        </w:rPr>
      </w:pPr>
      <w:r>
        <w:rPr>
          <w:lang w:eastAsia="en-GB"/>
        </w:rPr>
        <w:t>Integrated practical instructions are included</w:t>
      </w:r>
      <w:r w:rsidR="003D007E">
        <w:rPr>
          <w:lang w:eastAsia="en-GB"/>
        </w:rPr>
        <w:t xml:space="preserve"> in the PowerPoint</w:t>
      </w:r>
      <w:r>
        <w:rPr>
          <w:lang w:eastAsia="en-GB"/>
        </w:rPr>
        <w:t xml:space="preserve"> for the practical activity</w:t>
      </w:r>
      <w:r w:rsidR="001F661E">
        <w:rPr>
          <w:lang w:eastAsia="en-GB"/>
        </w:rPr>
        <w:t xml:space="preserve"> and are available to download from </w:t>
      </w:r>
      <w:r w:rsidR="001F661E" w:rsidRPr="001F661E">
        <w:rPr>
          <w:color w:val="C00000"/>
          <w:u w:val="single"/>
        </w:rPr>
        <w:t>rsc.li/49nMlMP</w:t>
      </w:r>
    </w:p>
    <w:p w14:paraId="167779F5" w14:textId="1490713A" w:rsidR="00056090" w:rsidRDefault="00A2026D" w:rsidP="00056090">
      <w:pPr>
        <w:pStyle w:val="RSC2-columntabs"/>
        <w:rPr>
          <w:lang w:eastAsia="en-GB"/>
        </w:rPr>
      </w:pPr>
      <w:r>
        <w:rPr>
          <w:lang w:eastAsia="en-GB"/>
        </w:rPr>
        <w:t>Two versions of the worksheet are included</w:t>
      </w:r>
      <w:r w:rsidR="00A162EE">
        <w:rPr>
          <w:lang w:eastAsia="en-GB"/>
        </w:rPr>
        <w:t>:</w:t>
      </w:r>
      <w:r>
        <w:rPr>
          <w:lang w:eastAsia="en-GB"/>
        </w:rPr>
        <w:t xml:space="preserve"> a scaffolded</w:t>
      </w:r>
      <w:r w:rsidR="00D072CD">
        <w:rPr>
          <w:lang w:eastAsia="en-GB"/>
        </w:rPr>
        <w:t xml:space="preserve"> (</w:t>
      </w:r>
      <w:r w:rsidR="00D072CD" w:rsidRPr="00656B58">
        <w:rPr>
          <w:color w:val="C8102E"/>
          <w:lang w:eastAsia="en-GB"/>
        </w:rPr>
        <w:sym w:font="Wingdings" w:char="F0B5"/>
      </w:r>
      <w:r w:rsidR="00D072CD" w:rsidRPr="009535EA">
        <w:rPr>
          <w:color w:val="C8102E"/>
          <w:lang w:eastAsia="en-GB"/>
        </w:rPr>
        <w:sym w:font="Wingdings" w:char="F0B5"/>
      </w:r>
      <w:r w:rsidR="00D072CD">
        <w:rPr>
          <w:lang w:eastAsia="en-GB"/>
        </w:rPr>
        <w:t>)</w:t>
      </w:r>
      <w:r>
        <w:rPr>
          <w:lang w:eastAsia="en-GB"/>
        </w:rPr>
        <w:t xml:space="preserve"> and </w:t>
      </w:r>
      <w:r w:rsidR="00A162EE">
        <w:rPr>
          <w:lang w:eastAsia="en-GB"/>
        </w:rPr>
        <w:t xml:space="preserve">an </w:t>
      </w:r>
      <w:proofErr w:type="spellStart"/>
      <w:r w:rsidR="00A162EE">
        <w:rPr>
          <w:lang w:eastAsia="en-GB"/>
        </w:rPr>
        <w:t>un</w:t>
      </w:r>
      <w:r>
        <w:rPr>
          <w:lang w:eastAsia="en-GB"/>
        </w:rPr>
        <w:t>scaffolded</w:t>
      </w:r>
      <w:proofErr w:type="spellEnd"/>
      <w:r>
        <w:rPr>
          <w:lang w:eastAsia="en-GB"/>
        </w:rPr>
        <w:t xml:space="preserve"> </w:t>
      </w:r>
      <w:r w:rsidR="00D072CD">
        <w:rPr>
          <w:lang w:eastAsia="en-GB"/>
        </w:rPr>
        <w:t>(</w:t>
      </w:r>
      <w:r w:rsidR="00D072CD" w:rsidRPr="009535EA">
        <w:rPr>
          <w:color w:val="C8102E"/>
          <w:lang w:eastAsia="en-GB"/>
        </w:rPr>
        <w:sym w:font="Wingdings" w:char="F0B5"/>
      </w:r>
      <w:r w:rsidR="00D072CD">
        <w:rPr>
          <w:lang w:eastAsia="en-GB"/>
        </w:rPr>
        <w:t xml:space="preserve">) </w:t>
      </w:r>
      <w:r>
        <w:rPr>
          <w:lang w:eastAsia="en-GB"/>
        </w:rPr>
        <w:t xml:space="preserve">version. </w:t>
      </w:r>
      <w:r w:rsidR="004024E2">
        <w:rPr>
          <w:lang w:eastAsia="en-GB"/>
        </w:rPr>
        <w:t xml:space="preserve">Questions in the scaffolded worksheet provide more prompts about correct use of keywords and structuring answers, whereas the </w:t>
      </w:r>
      <w:proofErr w:type="spellStart"/>
      <w:r w:rsidR="004024E2">
        <w:rPr>
          <w:lang w:eastAsia="en-GB"/>
        </w:rPr>
        <w:t>unscaffolded</w:t>
      </w:r>
      <w:proofErr w:type="spellEnd"/>
      <w:r w:rsidR="004024E2">
        <w:rPr>
          <w:lang w:eastAsia="en-GB"/>
        </w:rPr>
        <w:t xml:space="preserve"> worksheet provides less guidance.</w:t>
      </w:r>
    </w:p>
    <w:p w14:paraId="534A00A4" w14:textId="4DB34A62" w:rsidR="00CF698E" w:rsidRPr="00CF698E" w:rsidRDefault="00CF698E" w:rsidP="00056090">
      <w:pPr>
        <w:pStyle w:val="RSC2-columntabs"/>
        <w:rPr>
          <w:lang w:eastAsia="en-GB"/>
        </w:rPr>
      </w:pPr>
      <w:r>
        <w:rPr>
          <w:lang w:eastAsia="en-GB"/>
        </w:rPr>
        <w:t xml:space="preserve">Teachers may decide to remove the results table and guidance for how to calculate </w:t>
      </w:r>
      <w:r w:rsidRPr="004C30DA">
        <w:rPr>
          <w:i/>
          <w:iCs/>
          <w:lang w:eastAsia="en-GB"/>
        </w:rPr>
        <w:t>R</w:t>
      </w:r>
      <w:r>
        <w:rPr>
          <w:vertAlign w:val="subscript"/>
          <w:lang w:eastAsia="en-GB"/>
        </w:rPr>
        <w:t>f</w:t>
      </w:r>
      <w:r>
        <w:rPr>
          <w:lang w:eastAsia="en-GB"/>
        </w:rPr>
        <w:t xml:space="preserve"> values to provide further challenge for </w:t>
      </w:r>
      <w:r w:rsidR="00D072CD">
        <w:rPr>
          <w:lang w:eastAsia="en-GB"/>
        </w:rPr>
        <w:t>learners</w:t>
      </w:r>
      <w:r>
        <w:rPr>
          <w:lang w:eastAsia="en-GB"/>
        </w:rPr>
        <w:t>.</w:t>
      </w:r>
    </w:p>
    <w:p w14:paraId="31889672" w14:textId="77777777" w:rsidR="00A84218" w:rsidRDefault="00A84218" w:rsidP="00A84218">
      <w:pPr>
        <w:pStyle w:val="RSCH2"/>
        <w:rPr>
          <w:lang w:eastAsia="en-GB"/>
        </w:rPr>
      </w:pPr>
      <w:r>
        <w:rPr>
          <w:lang w:eastAsia="en-GB"/>
        </w:rPr>
        <w:t>Technician notes</w:t>
      </w:r>
    </w:p>
    <w:p w14:paraId="3E9EA34A" w14:textId="77777777" w:rsidR="00656B58" w:rsidRDefault="00656B58" w:rsidP="00656B58">
      <w:pPr>
        <w:pStyle w:val="RSCBasictext"/>
        <w:rPr>
          <w:lang w:eastAsia="en-GB"/>
        </w:rPr>
      </w:pPr>
      <w:r w:rsidRPr="00A84218">
        <w:rPr>
          <w:lang w:eastAsia="en-GB"/>
        </w:rPr>
        <w:t xml:space="preserve">Read our standard health </w:t>
      </w:r>
      <w:r>
        <w:rPr>
          <w:lang w:eastAsia="en-GB"/>
        </w:rPr>
        <w:t xml:space="preserve">and </w:t>
      </w:r>
      <w:r w:rsidRPr="00A84218">
        <w:rPr>
          <w:lang w:eastAsia="en-GB"/>
        </w:rPr>
        <w:t>safety guidance and carry out a risk assessment before running any live practical</w:t>
      </w:r>
      <w:r>
        <w:rPr>
          <w:lang w:eastAsia="en-GB"/>
        </w:rPr>
        <w:t xml:space="preserve"> (</w:t>
      </w:r>
      <w:hyperlink r:id="rId12" w:history="1">
        <w:r w:rsidRPr="0037079D">
          <w:rPr>
            <w:rStyle w:val="Hyperlink"/>
            <w:color w:val="C8102E"/>
          </w:rPr>
          <w:t>rsc.li/3zyJLkx</w:t>
        </w:r>
      </w:hyperlink>
      <w:r>
        <w:t>).</w:t>
      </w:r>
    </w:p>
    <w:p w14:paraId="6915F9E9" w14:textId="77777777" w:rsidR="00656B58" w:rsidRDefault="00656B58" w:rsidP="00A84218">
      <w:pPr>
        <w:pStyle w:val="RSCH2"/>
        <w:rPr>
          <w:lang w:eastAsia="en-GB"/>
        </w:rPr>
      </w:pPr>
    </w:p>
    <w:p w14:paraId="330E3B74" w14:textId="288B0F7F" w:rsidR="00327AFA" w:rsidRPr="00717BB9" w:rsidRDefault="006910FE" w:rsidP="00717BB9">
      <w:pPr>
        <w:pStyle w:val="RSCBasictext"/>
      </w:pPr>
      <w:r>
        <w:t>You can make the</w:t>
      </w:r>
      <w:r w:rsidR="00327AFA" w:rsidRPr="00717BB9">
        <w:t xml:space="preserve"> capillary tubing from lengths of ordinary glass tubing (diameter: 3–4 mm) using a Bunsen burner fitted with a flame-spreading (‘fish-tail’) jet.</w:t>
      </w:r>
    </w:p>
    <w:p w14:paraId="440BAB34" w14:textId="3D20A3AB" w:rsidR="00327AFA" w:rsidRPr="00717BB9" w:rsidRDefault="00327AFA" w:rsidP="00717BB9">
      <w:pPr>
        <w:pStyle w:val="RSCBasictext"/>
      </w:pPr>
      <w:r w:rsidRPr="00717BB9">
        <w:t xml:space="preserve">A variety of leaves can be used. </w:t>
      </w:r>
      <w:r w:rsidR="00776DCA">
        <w:t>The best</w:t>
      </w:r>
      <w:r w:rsidRPr="00717BB9">
        <w:t xml:space="preserve"> results are obtained from trees or bushes with dark green leaves, e</w:t>
      </w:r>
      <w:r w:rsidR="00A162EE" w:rsidRPr="00717BB9">
        <w:t>.</w:t>
      </w:r>
      <w:r w:rsidRPr="00717BB9">
        <w:t>g</w:t>
      </w:r>
      <w:r w:rsidR="00A162EE" w:rsidRPr="00717BB9">
        <w:t>.</w:t>
      </w:r>
      <w:r w:rsidRPr="00717BB9">
        <w:t xml:space="preserve"> holly.</w:t>
      </w:r>
    </w:p>
    <w:p w14:paraId="0EB3D079" w14:textId="2DC936C3" w:rsidR="00327AFA" w:rsidRPr="00717BB9" w:rsidRDefault="00656B58" w:rsidP="00717BB9">
      <w:pPr>
        <w:pStyle w:val="RSCBasictext"/>
      </w:pPr>
      <w:r>
        <w:t>U</w:t>
      </w:r>
      <w:r w:rsidR="00327AFA" w:rsidRPr="00717BB9">
        <w:t>se teat pipettes that do not allow squirting, e</w:t>
      </w:r>
      <w:r w:rsidR="00A162EE" w:rsidRPr="00717BB9">
        <w:t>.</w:t>
      </w:r>
      <w:r w:rsidR="00327AFA" w:rsidRPr="00717BB9">
        <w:t>g</w:t>
      </w:r>
      <w:r w:rsidR="00A162EE" w:rsidRPr="00717BB9">
        <w:t>.</w:t>
      </w:r>
      <w:r w:rsidR="00327AFA" w:rsidRPr="00717BB9">
        <w:t xml:space="preserve"> those fitted to dropper bottles of universal indicator.</w:t>
      </w:r>
    </w:p>
    <w:p w14:paraId="67655709" w14:textId="684C0C50" w:rsidR="00C5013F" w:rsidRPr="00327AFA" w:rsidRDefault="00B85268" w:rsidP="00C5013F">
      <w:pPr>
        <w:pStyle w:val="RSCBasictext"/>
        <w:rPr>
          <w:lang w:eastAsia="en-GB"/>
        </w:rPr>
      </w:pPr>
      <w:r w:rsidRPr="00B85268">
        <w:rPr>
          <w:lang w:eastAsia="en-GB"/>
        </w:rPr>
        <w:t>The spot on the chromatography paper should be as small and as concentrated as possible</w:t>
      </w:r>
      <w:r>
        <w:rPr>
          <w:lang w:eastAsia="en-GB"/>
        </w:rPr>
        <w:t xml:space="preserve">. </w:t>
      </w:r>
      <w:r w:rsidR="00C5013F" w:rsidRPr="00287DDF">
        <w:rPr>
          <w:lang w:eastAsia="en-GB"/>
        </w:rPr>
        <w:t xml:space="preserve">Encourage </w:t>
      </w:r>
      <w:r w:rsidR="009376CD">
        <w:rPr>
          <w:lang w:eastAsia="en-GB"/>
        </w:rPr>
        <w:t>learner</w:t>
      </w:r>
      <w:r w:rsidR="009376CD" w:rsidRPr="00287DDF">
        <w:rPr>
          <w:lang w:eastAsia="en-GB"/>
        </w:rPr>
        <w:t xml:space="preserve">s </w:t>
      </w:r>
      <w:r w:rsidR="00C5013F" w:rsidRPr="00287DDF">
        <w:rPr>
          <w:lang w:eastAsia="en-GB"/>
        </w:rPr>
        <w:t>to be patient and to wait until each application is dry before adding the next.</w:t>
      </w:r>
    </w:p>
    <w:p w14:paraId="05761CDF" w14:textId="05A84512" w:rsidR="00C5013F" w:rsidRPr="00C5013F" w:rsidRDefault="00C5013F" w:rsidP="00C5013F">
      <w:pPr>
        <w:pStyle w:val="RSCBasictext"/>
        <w:rPr>
          <w:lang w:eastAsia="en-GB"/>
        </w:rPr>
      </w:pPr>
      <w:r w:rsidRPr="00C5013F">
        <w:rPr>
          <w:lang w:eastAsia="en-GB"/>
        </w:rPr>
        <w:t>At least three spots should be obtained and one of these should be yellow due to carotenes.</w:t>
      </w:r>
    </w:p>
    <w:p w14:paraId="1F8C60AC" w14:textId="5A9A1793" w:rsidR="00C5013F" w:rsidRDefault="00C5013F" w:rsidP="00C5013F">
      <w:pPr>
        <w:pStyle w:val="RSCBasictext"/>
        <w:rPr>
          <w:lang w:eastAsia="en-GB"/>
        </w:rPr>
      </w:pPr>
      <w:r w:rsidRPr="00C5013F">
        <w:rPr>
          <w:lang w:eastAsia="en-GB"/>
        </w:rPr>
        <w:t xml:space="preserve">The extent to which any </w:t>
      </w:r>
      <w:proofErr w:type="gramStart"/>
      <w:r w:rsidRPr="00C5013F">
        <w:rPr>
          <w:lang w:eastAsia="en-GB"/>
        </w:rPr>
        <w:t>particular component</w:t>
      </w:r>
      <w:proofErr w:type="gramEnd"/>
      <w:r w:rsidRPr="00C5013F">
        <w:rPr>
          <w:lang w:eastAsia="en-GB"/>
        </w:rPr>
        <w:t xml:space="preserve"> moves up the paper is dependent not only on its solubility in propanone but also on its attraction for the cellulose in the chromatography paper. The yellow carotene spot (with a higher </w:t>
      </w:r>
      <w:r w:rsidRPr="002A1090">
        <w:rPr>
          <w:i/>
          <w:iCs/>
          <w:lang w:eastAsia="en-GB"/>
        </w:rPr>
        <w:t>R</w:t>
      </w:r>
      <w:r w:rsidR="00774BED" w:rsidRPr="00CC33B5">
        <w:rPr>
          <w:i/>
          <w:iCs/>
          <w:vertAlign w:val="subscript"/>
          <w:lang w:eastAsia="en-GB"/>
        </w:rPr>
        <w:t>f</w:t>
      </w:r>
      <w:r w:rsidRPr="00C5013F">
        <w:rPr>
          <w:lang w:eastAsia="en-GB"/>
        </w:rPr>
        <w:t xml:space="preserve"> value) tends to move up the paper the furthest.</w:t>
      </w:r>
    </w:p>
    <w:p w14:paraId="37C4F281" w14:textId="77777777" w:rsidR="00A84218" w:rsidRDefault="00A84218" w:rsidP="00A84218">
      <w:pPr>
        <w:pStyle w:val="RSCH3"/>
        <w:rPr>
          <w:lang w:eastAsia="en-GB"/>
        </w:rPr>
      </w:pPr>
      <w:r>
        <w:rPr>
          <w:lang w:eastAsia="en-GB"/>
        </w:rPr>
        <w:t>Equipment</w:t>
      </w:r>
    </w:p>
    <w:p w14:paraId="2FFD14C4" w14:textId="351FCE1C" w:rsidR="001E4F9A" w:rsidRPr="001E4F9A" w:rsidRDefault="001E4F9A" w:rsidP="00E71B7E">
      <w:pPr>
        <w:pStyle w:val="RSCH4"/>
      </w:pPr>
      <w:r w:rsidRPr="001E4F9A">
        <w:t>Apparatus</w:t>
      </w:r>
      <w:r>
        <w:t xml:space="preserve"> (per group)</w:t>
      </w:r>
    </w:p>
    <w:p w14:paraId="1B1267D7" w14:textId="7465A7BF" w:rsidR="001E4F9A" w:rsidRPr="001E4F9A" w:rsidRDefault="00B85268" w:rsidP="00E71B7E">
      <w:pPr>
        <w:pStyle w:val="RSCBulletedlist"/>
      </w:pPr>
      <w:r>
        <w:t>Safety glasses</w:t>
      </w:r>
    </w:p>
    <w:p w14:paraId="2C266545" w14:textId="77777777" w:rsidR="001E4F9A" w:rsidRPr="001E4F9A" w:rsidRDefault="001E4F9A" w:rsidP="00E71B7E">
      <w:pPr>
        <w:pStyle w:val="RSCBulletedlist"/>
      </w:pPr>
      <w:r w:rsidRPr="001E4F9A">
        <w:t>Pestle and mortar</w:t>
      </w:r>
    </w:p>
    <w:p w14:paraId="5807CA74" w14:textId="77777777" w:rsidR="001E4F9A" w:rsidRPr="001E4F9A" w:rsidRDefault="001E4F9A" w:rsidP="00E71B7E">
      <w:pPr>
        <w:pStyle w:val="RSCBulletedlist"/>
      </w:pPr>
      <w:r w:rsidRPr="001E4F9A">
        <w:t>Chromatography paper</w:t>
      </w:r>
    </w:p>
    <w:p w14:paraId="3DEE9B6F" w14:textId="77777777" w:rsidR="001E4F9A" w:rsidRPr="001E4F9A" w:rsidRDefault="001E4F9A" w:rsidP="00E71B7E">
      <w:pPr>
        <w:pStyle w:val="RSCBulletedlist"/>
      </w:pPr>
      <w:r w:rsidRPr="001E4F9A">
        <w:t>Beaker, 100 cm</w:t>
      </w:r>
      <w:r w:rsidRPr="001E4F9A">
        <w:rPr>
          <w:vertAlign w:val="superscript"/>
        </w:rPr>
        <w:t>3</w:t>
      </w:r>
    </w:p>
    <w:p w14:paraId="05CDBC42" w14:textId="77777777" w:rsidR="001E4F9A" w:rsidRPr="001E4F9A" w:rsidRDefault="001E4F9A" w:rsidP="00E71B7E">
      <w:pPr>
        <w:pStyle w:val="RSCBulletedlist"/>
      </w:pPr>
      <w:r w:rsidRPr="001E4F9A">
        <w:t>Small capillary tube</w:t>
      </w:r>
    </w:p>
    <w:p w14:paraId="40BBD5AA" w14:textId="77777777" w:rsidR="001E4F9A" w:rsidRPr="001E4F9A" w:rsidRDefault="001E4F9A" w:rsidP="00E71B7E">
      <w:pPr>
        <w:pStyle w:val="RSCBulletedlist"/>
      </w:pPr>
      <w:r w:rsidRPr="001E4F9A">
        <w:t>Pencil</w:t>
      </w:r>
    </w:p>
    <w:p w14:paraId="0100C29D" w14:textId="77777777" w:rsidR="001E4F9A" w:rsidRPr="001E4F9A" w:rsidRDefault="001E4F9A" w:rsidP="00E71B7E">
      <w:pPr>
        <w:pStyle w:val="RSCBulletedlist"/>
      </w:pPr>
      <w:r w:rsidRPr="001E4F9A">
        <w:t>Ruler</w:t>
      </w:r>
    </w:p>
    <w:p w14:paraId="1536AB13" w14:textId="4D178C8E" w:rsidR="001E4F9A" w:rsidRPr="001E4F9A" w:rsidRDefault="001E4F9A" w:rsidP="00E71B7E">
      <w:pPr>
        <w:pStyle w:val="RSCBulletedlist"/>
      </w:pPr>
      <w:r w:rsidRPr="001E4F9A">
        <w:t>Cut</w:t>
      </w:r>
      <w:r w:rsidR="006D4139">
        <w:t>-</w:t>
      </w:r>
      <w:r w:rsidRPr="001E4F9A">
        <w:t>up leaves (or leaves and scissors)</w:t>
      </w:r>
    </w:p>
    <w:p w14:paraId="5721EC02" w14:textId="61CAC359" w:rsidR="001E4F9A" w:rsidRPr="001E4F9A" w:rsidRDefault="00991D1B" w:rsidP="006D4139">
      <w:pPr>
        <w:pStyle w:val="RSCH4"/>
      </w:pPr>
      <w:r w:rsidRPr="00947279">
        <w:rPr>
          <w:noProof/>
        </w:rPr>
        <w:drawing>
          <wp:anchor distT="0" distB="0" distL="114300" distR="114300" simplePos="0" relativeHeight="251658241" behindDoc="1" locked="0" layoutInCell="1" allowOverlap="1" wp14:anchorId="5717463F" wp14:editId="4769C58B">
            <wp:simplePos x="0" y="0"/>
            <wp:positionH relativeFrom="column">
              <wp:posOffset>4991306</wp:posOffset>
            </wp:positionH>
            <wp:positionV relativeFrom="paragraph">
              <wp:posOffset>342265</wp:posOffset>
            </wp:positionV>
            <wp:extent cx="360000" cy="360000"/>
            <wp:effectExtent l="0" t="0" r="2540" b="2540"/>
            <wp:wrapSquare wrapText="bothSides"/>
            <wp:docPr id="38" name="Picture 37" title="Flammable hazard">
              <a:extLst xmlns:a="http://schemas.openxmlformats.org/drawingml/2006/main">
                <a:ext uri="{FF2B5EF4-FFF2-40B4-BE49-F238E27FC236}">
                  <a16:creationId xmlns:a16="http://schemas.microsoft.com/office/drawing/2014/main" id="{B75613CA-C79F-46E0-A8F1-1839912C25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7" title="Flammable hazard">
                      <a:extLst>
                        <a:ext uri="{FF2B5EF4-FFF2-40B4-BE49-F238E27FC236}">
                          <a16:creationId xmlns:a16="http://schemas.microsoft.com/office/drawing/2014/main" id="{B75613CA-C79F-46E0-A8F1-1839912C2514}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A03" w:rsidRPr="00A3067E">
        <w:rPr>
          <w:noProof/>
        </w:rPr>
        <w:drawing>
          <wp:anchor distT="0" distB="0" distL="114300" distR="114300" simplePos="0" relativeHeight="251658240" behindDoc="1" locked="0" layoutInCell="1" allowOverlap="1" wp14:anchorId="634B053F" wp14:editId="01B7FF31">
            <wp:simplePos x="0" y="0"/>
            <wp:positionH relativeFrom="margin">
              <wp:align>right</wp:align>
            </wp:positionH>
            <wp:positionV relativeFrom="paragraph">
              <wp:posOffset>340698</wp:posOffset>
            </wp:positionV>
            <wp:extent cx="360000" cy="360000"/>
            <wp:effectExtent l="0" t="0" r="2540" b="2540"/>
            <wp:wrapSquare wrapText="bothSides"/>
            <wp:docPr id="37" name="Picture 36" title="Moderate hazard">
              <a:extLst xmlns:a="http://schemas.openxmlformats.org/drawingml/2006/main">
                <a:ext uri="{FF2B5EF4-FFF2-40B4-BE49-F238E27FC236}">
                  <a16:creationId xmlns:a16="http://schemas.microsoft.com/office/drawing/2014/main" id="{CCE881EE-F806-48FE-9317-40F8464AEC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6" title="Moderate hazard">
                      <a:extLst>
                        <a:ext uri="{FF2B5EF4-FFF2-40B4-BE49-F238E27FC236}">
                          <a16:creationId xmlns:a16="http://schemas.microsoft.com/office/drawing/2014/main" id="{CCE881EE-F806-48FE-9317-40F8464AEC64}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F9A" w:rsidRPr="001E4F9A">
        <w:t>Chemicals</w:t>
      </w:r>
      <w:r w:rsidR="001E4F9A">
        <w:t xml:space="preserve"> (per group)</w:t>
      </w:r>
    </w:p>
    <w:p w14:paraId="4B67DCDF" w14:textId="5CA39AAE" w:rsidR="001E4F9A" w:rsidRPr="000602BB" w:rsidRDefault="001E4F9A" w:rsidP="000602BB">
      <w:pPr>
        <w:pStyle w:val="RSCBulletedlist"/>
      </w:pPr>
      <w:r w:rsidRPr="000602BB">
        <w:t>Propanone (HIGHLY FLAMMABLE, IRRITANT)</w:t>
      </w:r>
      <w:r w:rsidR="007840E1" w:rsidRPr="000602BB">
        <w:t xml:space="preserve"> (approx. 10 cm</w:t>
      </w:r>
      <w:r w:rsidR="007840E1" w:rsidRPr="000602BB">
        <w:rPr>
          <w:vertAlign w:val="superscript"/>
        </w:rPr>
        <w:t>3</w:t>
      </w:r>
      <w:r w:rsidR="007840E1" w:rsidRPr="000602BB">
        <w:t xml:space="preserve"> per group)</w:t>
      </w:r>
      <w:r w:rsidR="000602BB" w:rsidRPr="000602BB">
        <w:t xml:space="preserve"> </w:t>
      </w:r>
    </w:p>
    <w:p w14:paraId="6A91302D" w14:textId="00A5C75B" w:rsidR="001E4F9A" w:rsidRPr="000602BB" w:rsidRDefault="001E4F9A" w:rsidP="000602BB">
      <w:pPr>
        <w:pStyle w:val="RSCBulletedlist"/>
      </w:pPr>
      <w:r w:rsidRPr="000602BB">
        <w:t>Sand</w:t>
      </w:r>
    </w:p>
    <w:p w14:paraId="7063DC1B" w14:textId="77777777" w:rsidR="00A84218" w:rsidRDefault="00A84218" w:rsidP="00A84218">
      <w:pPr>
        <w:pStyle w:val="RSCH3"/>
        <w:rPr>
          <w:lang w:eastAsia="en-GB"/>
        </w:rPr>
      </w:pPr>
      <w:r>
        <w:rPr>
          <w:lang w:eastAsia="en-GB"/>
        </w:rPr>
        <w:t>Preparation</w:t>
      </w:r>
    </w:p>
    <w:p w14:paraId="79AF6B7E" w14:textId="21BE8975" w:rsidR="00CE5905" w:rsidRPr="007A0A6C" w:rsidRDefault="007840E1" w:rsidP="00CE5905">
      <w:pPr>
        <w:pStyle w:val="RSCBulletedlist"/>
      </w:pPr>
      <w:r>
        <w:rPr>
          <w:lang w:eastAsia="en-GB"/>
        </w:rPr>
        <w:t>Approximately 10 cm</w:t>
      </w:r>
      <w:r>
        <w:rPr>
          <w:vertAlign w:val="superscript"/>
          <w:lang w:eastAsia="en-GB"/>
        </w:rPr>
        <w:t>3</w:t>
      </w:r>
      <w:r>
        <w:rPr>
          <w:lang w:eastAsia="en-GB"/>
        </w:rPr>
        <w:t xml:space="preserve"> of propanone per group is required. S</w:t>
      </w:r>
      <w:r>
        <w:t xml:space="preserve">ee CLEAPSS </w:t>
      </w:r>
      <w:proofErr w:type="spellStart"/>
      <w:r>
        <w:t>Hazcard</w:t>
      </w:r>
      <w:proofErr w:type="spellEnd"/>
      <w:r>
        <w:t> </w:t>
      </w:r>
      <w:hyperlink r:id="rId15" w:history="1">
        <w:r w:rsidRPr="00404456">
          <w:rPr>
            <w:rStyle w:val="Hyperlink"/>
            <w:color w:val="C00000"/>
          </w:rPr>
          <w:t>HC085A</w:t>
        </w:r>
      </w:hyperlink>
      <w:r w:rsidR="00CE5905">
        <w:rPr>
          <w:color w:val="C8102E"/>
        </w:rPr>
        <w:t xml:space="preserve">, </w:t>
      </w:r>
      <w:r w:rsidR="00CE5905" w:rsidRPr="00833EEB">
        <w:t>refer to</w:t>
      </w:r>
      <w:r w:rsidR="00CE5905" w:rsidRPr="00833EEB">
        <w:rPr>
          <w:color w:val="C8102E"/>
        </w:rPr>
        <w:t> </w:t>
      </w:r>
      <w:hyperlink r:id="rId16" w:tgtFrame="_blank" w:tooltip="https://www.sserc.org.uk/" w:history="1">
        <w:r w:rsidR="00CE5905" w:rsidRPr="00833EEB">
          <w:rPr>
            <w:rStyle w:val="Hyperlink"/>
            <w:color w:val="C8102E"/>
          </w:rPr>
          <w:t>SSERC</w:t>
        </w:r>
      </w:hyperlink>
      <w:r w:rsidR="00CE5905" w:rsidRPr="00833EEB">
        <w:t> or contact your local safety advisory body</w:t>
      </w:r>
      <w:r w:rsidR="00CE5905" w:rsidRPr="007A0A6C">
        <w:t>.</w:t>
      </w:r>
    </w:p>
    <w:p w14:paraId="05DC7EAB" w14:textId="533BA30F" w:rsidR="00A84218" w:rsidRDefault="00264DBD" w:rsidP="00EE6028">
      <w:pPr>
        <w:pStyle w:val="RSCBulletedlist"/>
        <w:rPr>
          <w:lang w:eastAsia="en-GB"/>
        </w:rPr>
      </w:pPr>
      <w:r>
        <w:rPr>
          <w:lang w:eastAsia="en-GB"/>
        </w:rPr>
        <w:t>For disposa</w:t>
      </w:r>
      <w:r w:rsidR="00041CCD">
        <w:rPr>
          <w:lang w:eastAsia="en-GB"/>
        </w:rPr>
        <w:t>l, d</w:t>
      </w:r>
      <w:r w:rsidR="00041CCD" w:rsidRPr="00041CCD">
        <w:rPr>
          <w:lang w:eastAsia="en-GB"/>
        </w:rPr>
        <w:t xml:space="preserve">ilute in water to below 1M (~ 5 % v/v) and pour down a </w:t>
      </w:r>
      <w:proofErr w:type="gramStart"/>
      <w:r w:rsidR="00041CCD" w:rsidRPr="00041CCD">
        <w:rPr>
          <w:lang w:eastAsia="en-GB"/>
        </w:rPr>
        <w:t>foul-water</w:t>
      </w:r>
      <w:proofErr w:type="gramEnd"/>
      <w:r w:rsidR="00041CCD" w:rsidRPr="00041CCD">
        <w:rPr>
          <w:lang w:eastAsia="en-GB"/>
        </w:rPr>
        <w:t xml:space="preserve"> </w:t>
      </w:r>
      <w:r w:rsidR="00041CCD">
        <w:rPr>
          <w:lang w:eastAsia="en-GB"/>
        </w:rPr>
        <w:t>drain.</w:t>
      </w:r>
    </w:p>
    <w:p w14:paraId="5D64E73A" w14:textId="036C9A5E" w:rsidR="007840E1" w:rsidRDefault="005A1A03" w:rsidP="007840E1">
      <w:pPr>
        <w:pStyle w:val="RSCBulletedlist"/>
        <w:rPr>
          <w:rFonts w:cs="Times New Roman"/>
          <w:lang w:eastAsia="en-GB"/>
        </w:rPr>
      </w:pPr>
      <w:r w:rsidRPr="00947279">
        <w:rPr>
          <w:noProof/>
        </w:rPr>
        <w:drawing>
          <wp:anchor distT="0" distB="0" distL="114300" distR="114300" simplePos="0" relativeHeight="251658243" behindDoc="1" locked="0" layoutInCell="1" allowOverlap="1" wp14:anchorId="0C2CE240" wp14:editId="44B6560C">
            <wp:simplePos x="0" y="0"/>
            <wp:positionH relativeFrom="column">
              <wp:posOffset>5001634</wp:posOffset>
            </wp:positionH>
            <wp:positionV relativeFrom="paragraph">
              <wp:posOffset>5080</wp:posOffset>
            </wp:positionV>
            <wp:extent cx="360000" cy="360000"/>
            <wp:effectExtent l="0" t="0" r="2540" b="2540"/>
            <wp:wrapSquare wrapText="bothSides"/>
            <wp:docPr id="358615553" name="Picture 37" title="Flammable hazard">
              <a:extLst xmlns:a="http://schemas.openxmlformats.org/drawingml/2006/main">
                <a:ext uri="{FF2B5EF4-FFF2-40B4-BE49-F238E27FC236}">
                  <a16:creationId xmlns:a16="http://schemas.microsoft.com/office/drawing/2014/main" id="{B75613CA-C79F-46E0-A8F1-1839912C25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7" title="Flammable hazard">
                      <a:extLst>
                        <a:ext uri="{FF2B5EF4-FFF2-40B4-BE49-F238E27FC236}">
                          <a16:creationId xmlns:a16="http://schemas.microsoft.com/office/drawing/2014/main" id="{B75613CA-C79F-46E0-A8F1-1839912C2514}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067E">
        <w:rPr>
          <w:noProof/>
        </w:rPr>
        <w:drawing>
          <wp:anchor distT="0" distB="0" distL="114300" distR="114300" simplePos="0" relativeHeight="251658242" behindDoc="1" locked="0" layoutInCell="1" allowOverlap="1" wp14:anchorId="2543C8FE" wp14:editId="6834A244">
            <wp:simplePos x="0" y="0"/>
            <wp:positionH relativeFrom="margin">
              <wp:align>right</wp:align>
            </wp:positionH>
            <wp:positionV relativeFrom="paragraph">
              <wp:posOffset>1908</wp:posOffset>
            </wp:positionV>
            <wp:extent cx="360000" cy="360000"/>
            <wp:effectExtent l="0" t="0" r="2540" b="2540"/>
            <wp:wrapSquare wrapText="bothSides"/>
            <wp:docPr id="463498608" name="Picture 36" title="Moderate hazard">
              <a:extLst xmlns:a="http://schemas.openxmlformats.org/drawingml/2006/main">
                <a:ext uri="{FF2B5EF4-FFF2-40B4-BE49-F238E27FC236}">
                  <a16:creationId xmlns:a16="http://schemas.microsoft.com/office/drawing/2014/main" id="{CCE881EE-F806-48FE-9317-40F8464AEC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6" title="Moderate hazard">
                      <a:extLst>
                        <a:ext uri="{FF2B5EF4-FFF2-40B4-BE49-F238E27FC236}">
                          <a16:creationId xmlns:a16="http://schemas.microsoft.com/office/drawing/2014/main" id="{CCE881EE-F806-48FE-9317-40F8464AEC64}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0E1">
        <w:t xml:space="preserve">Propanone, </w:t>
      </w:r>
      <m:oMath>
        <m:r>
          <m:rPr>
            <m:sty m:val="p"/>
          </m:rP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COC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7840E1">
        <w:t xml:space="preserve"> (l), (HIGHLY FLAMMABLE, IRRITANT) </w:t>
      </w:r>
      <w:r w:rsidR="00D040BE">
        <w:t xml:space="preserve">– </w:t>
      </w:r>
      <w:r w:rsidR="007840E1">
        <w:t>The vapour of propanone is HIGHLY FLAMMABLE. Do not have any source of ignition nearby.</w:t>
      </w:r>
    </w:p>
    <w:p w14:paraId="4CB30E85" w14:textId="7DFADC11" w:rsidR="00362CC1" w:rsidRPr="002D29DE" w:rsidRDefault="00354F0B" w:rsidP="004F69AD">
      <w:pPr>
        <w:pStyle w:val="RSCBulletedlist"/>
        <w:rPr>
          <w:lang w:eastAsia="en-GB"/>
        </w:rPr>
      </w:pPr>
      <w:r w:rsidRPr="002D29DE">
        <w:rPr>
          <w:lang w:eastAsia="en-GB"/>
        </w:rPr>
        <w:t xml:space="preserve">A lid should be used during this experiment if it is not possible to provide fume hood use. An upturned watch glass works well. </w:t>
      </w:r>
    </w:p>
    <w:p w14:paraId="7AB84E34" w14:textId="5B4A9151" w:rsidR="00362CC1" w:rsidRPr="004F69AD" w:rsidRDefault="00362CC1" w:rsidP="00EE6028">
      <w:pPr>
        <w:pStyle w:val="RSCBulletedlist"/>
        <w:shd w:val="clear" w:color="auto" w:fill="FFFFFF"/>
        <w:spacing w:after="0" w:line="240" w:lineRule="auto"/>
        <w:outlineLvl w:val="9"/>
        <w:rPr>
          <w:rFonts w:ascii="Segoe UI" w:eastAsia="Times New Roman" w:hAnsi="Segoe UI" w:cs="Segoe UI"/>
          <w:color w:val="172B4D"/>
          <w:spacing w:val="-1"/>
          <w:sz w:val="24"/>
          <w:szCs w:val="24"/>
          <w:lang w:eastAsia="en-GB"/>
        </w:rPr>
      </w:pPr>
      <w:r w:rsidRPr="004F69AD">
        <w:rPr>
          <w:lang w:eastAsia="en-GB"/>
        </w:rPr>
        <w:t xml:space="preserve">Beware of sharp edges </w:t>
      </w:r>
      <w:r w:rsidR="00354F0B">
        <w:rPr>
          <w:lang w:eastAsia="en-GB"/>
        </w:rPr>
        <w:t xml:space="preserve">when using capillary tubes. </w:t>
      </w:r>
    </w:p>
    <w:p w14:paraId="1EAF1D91" w14:textId="47B7D29F" w:rsidR="00362CC1" w:rsidRDefault="00362CC1" w:rsidP="00362CC1">
      <w:pPr>
        <w:pStyle w:val="RSCH2"/>
        <w:rPr>
          <w:lang w:eastAsia="en-GB"/>
        </w:rPr>
      </w:pPr>
      <w:r>
        <w:rPr>
          <w:lang w:eastAsia="en-GB"/>
        </w:rPr>
        <w:t>Answers</w:t>
      </w:r>
    </w:p>
    <w:p w14:paraId="3F0E17AC" w14:textId="61EE2C5C" w:rsidR="00362CC1" w:rsidRDefault="008C2EB1" w:rsidP="00362CC1">
      <w:pPr>
        <w:pStyle w:val="RSCnumberedlist"/>
        <w:rPr>
          <w:lang w:eastAsia="en-GB"/>
        </w:rPr>
      </w:pPr>
      <w:r>
        <w:rPr>
          <w:lang w:eastAsia="en-GB"/>
        </w:rPr>
        <w:t>Stationary phase = chromatography paper</w:t>
      </w:r>
      <w:r>
        <w:rPr>
          <w:lang w:eastAsia="en-GB"/>
        </w:rPr>
        <w:br/>
        <w:t>Mobile phase = propanone</w:t>
      </w:r>
    </w:p>
    <w:p w14:paraId="1AAEECB7" w14:textId="01DC3B1B" w:rsidR="00362CC1" w:rsidRDefault="00362CC1" w:rsidP="00362CC1">
      <w:pPr>
        <w:pStyle w:val="RSCnumberedlist"/>
        <w:rPr>
          <w:lang w:eastAsia="en-GB"/>
        </w:rPr>
      </w:pPr>
      <w:r>
        <w:rPr>
          <w:lang w:eastAsia="en-GB"/>
        </w:rPr>
        <w:tab/>
      </w:r>
      <w:r w:rsidR="008C2EB1">
        <w:rPr>
          <w:lang w:eastAsia="en-GB"/>
        </w:rPr>
        <w:t xml:space="preserve">Water is not used in this experiment as the dyes are </w:t>
      </w:r>
      <w:r w:rsidR="008C2EB1">
        <w:rPr>
          <w:b/>
          <w:bCs/>
          <w:lang w:eastAsia="en-GB"/>
        </w:rPr>
        <w:t>not soluble</w:t>
      </w:r>
      <w:r w:rsidR="008C2EB1">
        <w:rPr>
          <w:lang w:eastAsia="en-GB"/>
        </w:rPr>
        <w:t xml:space="preserve"> in water and would therefore not move up the chromatography paper.</w:t>
      </w:r>
    </w:p>
    <w:p w14:paraId="43BBEA0B" w14:textId="76B915C2" w:rsidR="00362CC1" w:rsidRDefault="00362CC1" w:rsidP="00362CC1">
      <w:pPr>
        <w:pStyle w:val="RSCnumberedlist"/>
        <w:rPr>
          <w:lang w:eastAsia="en-GB"/>
        </w:rPr>
      </w:pPr>
      <w:r>
        <w:rPr>
          <w:lang w:eastAsia="en-GB"/>
        </w:rPr>
        <w:tab/>
      </w:r>
      <w:r w:rsidR="00721A7D">
        <w:rPr>
          <w:lang w:eastAsia="en-GB"/>
        </w:rPr>
        <w:t xml:space="preserve">Pencil must be used for all markings as it is </w:t>
      </w:r>
      <w:r w:rsidR="00721A7D">
        <w:rPr>
          <w:b/>
          <w:bCs/>
          <w:lang w:eastAsia="en-GB"/>
        </w:rPr>
        <w:t>insoluble</w:t>
      </w:r>
      <w:r w:rsidR="00721A7D">
        <w:rPr>
          <w:lang w:eastAsia="en-GB"/>
        </w:rPr>
        <w:t xml:space="preserve"> in the solvent. Pen is soluble and would also travel up the chromatography paper and interfere with results.</w:t>
      </w:r>
    </w:p>
    <w:p w14:paraId="1FA9D582" w14:textId="1C850C2C" w:rsidR="00362CC1" w:rsidRPr="00C935B3" w:rsidRDefault="00362CC1" w:rsidP="00EA33DF">
      <w:pPr>
        <w:pStyle w:val="RSCnumberedlist"/>
        <w:rPr>
          <w:color w:val="006F62"/>
        </w:rPr>
      </w:pPr>
      <w:r>
        <w:rPr>
          <w:lang w:eastAsia="en-GB"/>
        </w:rPr>
        <w:tab/>
      </w:r>
      <w:r w:rsidR="00EA33DF">
        <w:rPr>
          <w:lang w:eastAsia="en-GB"/>
        </w:rPr>
        <w:t xml:space="preserve">View alongside student results. Students should identify the pigment which has travelled the greatest distance – this is the </w:t>
      </w:r>
      <w:r w:rsidR="00EA33DF">
        <w:rPr>
          <w:b/>
          <w:bCs/>
          <w:lang w:eastAsia="en-GB"/>
        </w:rPr>
        <w:t>most soluble</w:t>
      </w:r>
      <w:r w:rsidR="00EA33DF">
        <w:rPr>
          <w:lang w:eastAsia="en-GB"/>
        </w:rPr>
        <w:t xml:space="preserve"> pigment. </w:t>
      </w:r>
    </w:p>
    <w:p w14:paraId="2D1EEFF3" w14:textId="5F1E4626" w:rsidR="00C935B3" w:rsidRPr="00C935B3" w:rsidRDefault="00C935B3" w:rsidP="00EA33DF">
      <w:pPr>
        <w:pStyle w:val="RSCnumberedlist"/>
        <w:rPr>
          <w:color w:val="006F62"/>
        </w:rPr>
      </w:pPr>
      <w:r>
        <w:t xml:space="preserve">View alongside student results. If </w:t>
      </w:r>
      <w:r>
        <w:rPr>
          <w:b/>
          <w:bCs/>
        </w:rPr>
        <w:t>more than one spot</w:t>
      </w:r>
      <w:r>
        <w:t xml:space="preserve"> is produced, the pigment is a mixture. Pure substances produce only one spot during chromatography.</w:t>
      </w:r>
    </w:p>
    <w:p w14:paraId="2BB1F0D4" w14:textId="0A0E1A10" w:rsidR="00287123" w:rsidRDefault="00D911AC" w:rsidP="0027678A">
      <w:pPr>
        <w:pStyle w:val="RSCnumberedlist"/>
      </w:pPr>
      <w:r>
        <w:t xml:space="preserve"> </w:t>
      </w:r>
      <w:bookmarkStart w:id="0" w:name="_Hlk230689627"/>
    </w:p>
    <w:bookmarkEnd w:id="0"/>
    <w:p w14:paraId="751393CF" w14:textId="5DFB050A" w:rsidR="00C935B3" w:rsidRPr="00D911AC" w:rsidRDefault="00D911AC" w:rsidP="0027678A">
      <w:pPr>
        <w:pStyle w:val="RSCletteredlist"/>
        <w:ind w:left="357" w:right="0" w:hanging="357"/>
        <w:rPr>
          <w:color w:val="006F62"/>
        </w:rPr>
      </w:pPr>
      <w:r>
        <w:t>Spot 1 did not travel up the chromatography paper because it was insoluble in the solvent used.</w:t>
      </w:r>
    </w:p>
    <w:p w14:paraId="5D67B6D9" w14:textId="6C0BE1DF" w:rsidR="00D911AC" w:rsidRPr="002C6E2B" w:rsidRDefault="007D4420" w:rsidP="00D31535">
      <w:pPr>
        <w:pStyle w:val="RSCletteredlist"/>
        <w:rPr>
          <w:color w:val="006F62"/>
        </w:rPr>
      </w:pPr>
      <w:r>
        <w:t>S</w:t>
      </w:r>
      <w:r w:rsidR="00A319BB">
        <w:t>p</w:t>
      </w:r>
      <w:r>
        <w:t>ots 2, 3 and 4 travel different distances because they have different solubilities in the solvent and different attractions for the paper.</w:t>
      </w:r>
      <w:r>
        <w:br/>
      </w:r>
      <w:r w:rsidR="00287123">
        <w:t>Because</w:t>
      </w:r>
      <w:r>
        <w:t xml:space="preserve"> Spot 4 travelled the furthest, it has the highest solubility and the lowest attraction to the paper.</w:t>
      </w:r>
      <w:r>
        <w:br/>
        <w:t>Spot 2 has the lowest solubility</w:t>
      </w:r>
      <w:r w:rsidR="00550DF1">
        <w:t xml:space="preserve"> (apart from spot 1 which is insoluble) and the highest attraction to the paper.</w:t>
      </w:r>
    </w:p>
    <w:p w14:paraId="6EE9D9FA" w14:textId="13244D4E" w:rsidR="002C6E2B" w:rsidRPr="00C679BB" w:rsidRDefault="002C6E2B" w:rsidP="006910FE">
      <w:pPr>
        <w:pStyle w:val="RSCnumberedlist"/>
        <w:spacing w:after="0"/>
        <w:rPr>
          <w:b/>
          <w:bCs/>
        </w:rPr>
      </w:pPr>
      <w:proofErr w:type="spellStart"/>
      <w:r w:rsidRPr="006910FE">
        <w:rPr>
          <w:i/>
          <w:iCs/>
          <w:color w:val="C8102E"/>
        </w:rPr>
        <w:t>Unscaffolded</w:t>
      </w:r>
      <w:proofErr w:type="spellEnd"/>
      <w:r w:rsidRPr="006910FE">
        <w:rPr>
          <w:i/>
          <w:iCs/>
          <w:color w:val="C8102E"/>
        </w:rPr>
        <w:t>:</w:t>
      </w:r>
      <w:r w:rsidRPr="00C679BB">
        <w:rPr>
          <w:b/>
          <w:bCs/>
        </w:rPr>
        <w:br/>
      </w:r>
      <w:r>
        <w:t>Any two conclusions from:</w:t>
      </w:r>
      <w:r>
        <w:br/>
        <w:t>Drink A contains EXBERRY</w:t>
      </w:r>
      <w:r w:rsidR="002E525F" w:rsidRPr="00B10089">
        <w:rPr>
          <w:vertAlign w:val="superscript"/>
        </w:rPr>
        <w:t>®,</w:t>
      </w:r>
      <w:r>
        <w:t xml:space="preserve"> but Drink B does not.</w:t>
      </w:r>
      <w:r>
        <w:br/>
      </w:r>
      <w:r w:rsidR="00E37A23">
        <w:t>Drink A contains three different colourings, one of which is EXBERRY</w:t>
      </w:r>
      <w:r w:rsidR="00E37A23" w:rsidRPr="00B10089">
        <w:rPr>
          <w:vertAlign w:val="superscript"/>
        </w:rPr>
        <w:t>®</w:t>
      </w:r>
      <w:r w:rsidR="00E37A23">
        <w:t>.</w:t>
      </w:r>
      <w:r w:rsidR="00E37A23">
        <w:br/>
        <w:t xml:space="preserve">Drink B contains </w:t>
      </w:r>
      <w:r w:rsidR="00287123">
        <w:t>two</w:t>
      </w:r>
      <w:r w:rsidR="00E37A23">
        <w:t xml:space="preserve"> different colourings.</w:t>
      </w:r>
      <w:r w:rsidR="00E37A23">
        <w:br/>
        <w:t>EXBERRY</w:t>
      </w:r>
      <w:r w:rsidR="00E37A23" w:rsidRPr="00517BCF">
        <w:rPr>
          <w:vertAlign w:val="superscript"/>
        </w:rPr>
        <w:t>®</w:t>
      </w:r>
      <w:r w:rsidR="00E37A23">
        <w:t xml:space="preserve"> was the most soluble </w:t>
      </w:r>
      <w:r w:rsidR="00304633">
        <w:t xml:space="preserve">colouring. </w:t>
      </w:r>
      <w:r w:rsidR="00304633">
        <w:br/>
        <w:t>Drinks A and B contain only one common ingredient.</w:t>
      </w:r>
      <w:r w:rsidR="00304633">
        <w:br/>
      </w:r>
      <w:r>
        <w:br/>
      </w:r>
      <w:r w:rsidRPr="006910FE">
        <w:rPr>
          <w:i/>
          <w:iCs/>
          <w:color w:val="C8102E"/>
        </w:rPr>
        <w:t>Scaffolded:</w:t>
      </w:r>
    </w:p>
    <w:p w14:paraId="1024428E" w14:textId="659D7A43" w:rsidR="00304633" w:rsidRPr="001E50DD" w:rsidRDefault="00304633" w:rsidP="008A06D7">
      <w:pPr>
        <w:pStyle w:val="RSCletteredlist"/>
        <w:numPr>
          <w:ilvl w:val="0"/>
          <w:numId w:val="23"/>
        </w:numPr>
      </w:pPr>
      <w:r w:rsidRPr="001E50DD">
        <w:t>Only Drink A contains EXBERRY® colouring.</w:t>
      </w:r>
    </w:p>
    <w:p w14:paraId="77D8F1BD" w14:textId="06EDA346" w:rsidR="00304633" w:rsidRPr="001E50DD" w:rsidRDefault="00B30790" w:rsidP="008A06D7">
      <w:pPr>
        <w:pStyle w:val="RSCletteredlist"/>
        <w:numPr>
          <w:ilvl w:val="0"/>
          <w:numId w:val="23"/>
        </w:numPr>
      </w:pPr>
      <w:r w:rsidRPr="001E50DD">
        <w:t xml:space="preserve">Drink A contains the most colourings – </w:t>
      </w:r>
      <w:r w:rsidR="00B26C4B" w:rsidRPr="001E50DD">
        <w:t>two</w:t>
      </w:r>
      <w:r w:rsidRPr="001E50DD">
        <w:t xml:space="preserve"> spots are produced.</w:t>
      </w:r>
    </w:p>
    <w:p w14:paraId="615ED554" w14:textId="6B9CC13D" w:rsidR="00B30790" w:rsidRPr="001E50DD" w:rsidRDefault="00B30790" w:rsidP="008A06D7">
      <w:pPr>
        <w:pStyle w:val="RSCletteredlist"/>
        <w:numPr>
          <w:ilvl w:val="0"/>
          <w:numId w:val="23"/>
        </w:numPr>
      </w:pPr>
      <w:r w:rsidRPr="001E50DD">
        <w:t>Drinks A and B contain only one common ingredient. This is not EXBERRY®.</w:t>
      </w:r>
      <w:r w:rsidR="00B6185C" w:rsidRPr="001E50DD">
        <w:t xml:space="preserve"> They produced a spot with a common Rf value.</w:t>
      </w:r>
    </w:p>
    <w:p w14:paraId="357B1C99" w14:textId="65684144" w:rsidR="00C679BB" w:rsidRPr="001E50DD" w:rsidRDefault="00C679BB" w:rsidP="008A06D7">
      <w:pPr>
        <w:pStyle w:val="RSCletteredlist"/>
        <w:numPr>
          <w:ilvl w:val="0"/>
          <w:numId w:val="23"/>
        </w:numPr>
      </w:pPr>
      <w:r w:rsidRPr="001E50DD">
        <w:t>EXBERRY® was the most soluble colouring in the solvent.</w:t>
      </w:r>
    </w:p>
    <w:p w14:paraId="1D1265E0" w14:textId="77777777" w:rsidR="00362CC1" w:rsidRDefault="00362CC1" w:rsidP="00362CC1">
      <w:pPr>
        <w:pStyle w:val="RSCBasictext"/>
      </w:pPr>
    </w:p>
    <w:sectPr w:rsidR="00362CC1" w:rsidSect="00231C1C">
      <w:headerReference w:type="default" r:id="rId17"/>
      <w:footerReference w:type="default" r:id="rId18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7B5D" w14:textId="77777777" w:rsidR="00CB69A1" w:rsidRDefault="00CB69A1" w:rsidP="008A1B0B">
      <w:pPr>
        <w:spacing w:after="0" w:line="240" w:lineRule="auto"/>
      </w:pPr>
      <w:r>
        <w:separator/>
      </w:r>
    </w:p>
  </w:endnote>
  <w:endnote w:type="continuationSeparator" w:id="0">
    <w:p w14:paraId="260E08A4" w14:textId="77777777" w:rsidR="00CB69A1" w:rsidRDefault="00CB69A1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242AE956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8365D6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0E405" w14:textId="77777777" w:rsidR="00CB69A1" w:rsidRDefault="00CB69A1" w:rsidP="008A1B0B">
      <w:pPr>
        <w:spacing w:after="0" w:line="240" w:lineRule="auto"/>
      </w:pPr>
      <w:r>
        <w:separator/>
      </w:r>
    </w:p>
  </w:footnote>
  <w:footnote w:type="continuationSeparator" w:id="0">
    <w:p w14:paraId="091B1934" w14:textId="77777777" w:rsidR="00CB69A1" w:rsidRDefault="00CB69A1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3636FD7B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0B20ED95" wp14:editId="68ACF886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 descr="A red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5C763B68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A2C">
      <w:rPr>
        <w:rFonts w:ascii="Century Gothic" w:hAnsi="Century Gothic"/>
        <w:b/>
        <w:bCs/>
        <w:color w:val="C8102E"/>
        <w:sz w:val="30"/>
        <w:szCs w:val="30"/>
      </w:rPr>
      <w:t>Nuffield practical collection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46DBC5D6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842A2C" w:rsidRPr="00842A2C">
      <w:rPr>
        <w:b/>
        <w:bCs/>
        <w:color w:val="C00000"/>
      </w:rPr>
      <w:t>rsc.li/49nMlMP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40C09"/>
    <w:multiLevelType w:val="multilevel"/>
    <w:tmpl w:val="B9B4B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00EB7"/>
    <w:multiLevelType w:val="hybridMultilevel"/>
    <w:tmpl w:val="8EEED33C"/>
    <w:lvl w:ilvl="0" w:tplc="1B9A3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A45A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CA16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42D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C0FD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E05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88C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220D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4AB4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14246"/>
    <w:multiLevelType w:val="hybridMultilevel"/>
    <w:tmpl w:val="8AE26F1E"/>
    <w:lvl w:ilvl="0" w:tplc="2E2CD1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5EAD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E9677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24449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5F621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1ECEF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5E2A4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2D2E8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80A8E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2E50671E"/>
    <w:multiLevelType w:val="hybridMultilevel"/>
    <w:tmpl w:val="8DE4E742"/>
    <w:lvl w:ilvl="0" w:tplc="8CDA293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220FAF"/>
    <w:multiLevelType w:val="multilevel"/>
    <w:tmpl w:val="E524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CE4B07"/>
    <w:multiLevelType w:val="hybridMultilevel"/>
    <w:tmpl w:val="FD74F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95469">
    <w:abstractNumId w:val="18"/>
  </w:num>
  <w:num w:numId="2" w16cid:durableId="1028483081">
    <w:abstractNumId w:val="10"/>
  </w:num>
  <w:num w:numId="3" w16cid:durableId="498425709">
    <w:abstractNumId w:val="7"/>
  </w:num>
  <w:num w:numId="4" w16cid:durableId="1858107951">
    <w:abstractNumId w:val="8"/>
  </w:num>
  <w:num w:numId="5" w16cid:durableId="461963885">
    <w:abstractNumId w:val="15"/>
  </w:num>
  <w:num w:numId="6" w16cid:durableId="817766398">
    <w:abstractNumId w:val="16"/>
  </w:num>
  <w:num w:numId="7" w16cid:durableId="790979940">
    <w:abstractNumId w:val="0"/>
  </w:num>
  <w:num w:numId="8" w16cid:durableId="2054235528">
    <w:abstractNumId w:val="6"/>
  </w:num>
  <w:num w:numId="9" w16cid:durableId="1990549414">
    <w:abstractNumId w:val="5"/>
  </w:num>
  <w:num w:numId="10" w16cid:durableId="1460881753">
    <w:abstractNumId w:val="3"/>
  </w:num>
  <w:num w:numId="11" w16cid:durableId="1707487310">
    <w:abstractNumId w:val="11"/>
  </w:num>
  <w:num w:numId="12" w16cid:durableId="392628055">
    <w:abstractNumId w:val="3"/>
    <w:lvlOverride w:ilvl="0">
      <w:startOverride w:val="1"/>
    </w:lvlOverride>
  </w:num>
  <w:num w:numId="13" w16cid:durableId="1302266216">
    <w:abstractNumId w:val="14"/>
  </w:num>
  <w:num w:numId="14" w16cid:durableId="976372087">
    <w:abstractNumId w:val="13"/>
  </w:num>
  <w:num w:numId="15" w16cid:durableId="1802646080">
    <w:abstractNumId w:val="9"/>
  </w:num>
  <w:num w:numId="16" w16cid:durableId="608589520">
    <w:abstractNumId w:val="5"/>
    <w:lvlOverride w:ilvl="0">
      <w:startOverride w:val="1"/>
    </w:lvlOverride>
  </w:num>
  <w:num w:numId="17" w16cid:durableId="1743522365">
    <w:abstractNumId w:val="19"/>
  </w:num>
  <w:num w:numId="18" w16cid:durableId="2137213637">
    <w:abstractNumId w:val="12"/>
  </w:num>
  <w:num w:numId="19" w16cid:durableId="262691656">
    <w:abstractNumId w:val="1"/>
  </w:num>
  <w:num w:numId="20" w16cid:durableId="1484812265">
    <w:abstractNumId w:val="17"/>
  </w:num>
  <w:num w:numId="21" w16cid:durableId="597062856">
    <w:abstractNumId w:val="2"/>
  </w:num>
  <w:num w:numId="22" w16cid:durableId="776489751">
    <w:abstractNumId w:val="20"/>
  </w:num>
  <w:num w:numId="23" w16cid:durableId="1794059817">
    <w:abstractNumId w:val="5"/>
    <w:lvlOverride w:ilvl="0">
      <w:startOverride w:val="1"/>
    </w:lvlOverride>
  </w:num>
  <w:num w:numId="24" w16cid:durableId="1115558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1220F"/>
    <w:rsid w:val="00012A4D"/>
    <w:rsid w:val="0002722A"/>
    <w:rsid w:val="00041CCD"/>
    <w:rsid w:val="00056090"/>
    <w:rsid w:val="000602BB"/>
    <w:rsid w:val="000647E4"/>
    <w:rsid w:val="00084EDA"/>
    <w:rsid w:val="000866AC"/>
    <w:rsid w:val="00092315"/>
    <w:rsid w:val="00092796"/>
    <w:rsid w:val="000A31FD"/>
    <w:rsid w:val="000A768F"/>
    <w:rsid w:val="000B0FE6"/>
    <w:rsid w:val="000B16C7"/>
    <w:rsid w:val="000E5F58"/>
    <w:rsid w:val="000E69F9"/>
    <w:rsid w:val="00106210"/>
    <w:rsid w:val="00132061"/>
    <w:rsid w:val="001366CD"/>
    <w:rsid w:val="00160434"/>
    <w:rsid w:val="001A1813"/>
    <w:rsid w:val="001A3738"/>
    <w:rsid w:val="001D273A"/>
    <w:rsid w:val="001D522F"/>
    <w:rsid w:val="001E4F9A"/>
    <w:rsid w:val="001E50DD"/>
    <w:rsid w:val="001F661E"/>
    <w:rsid w:val="00231C1C"/>
    <w:rsid w:val="0023536A"/>
    <w:rsid w:val="002574B5"/>
    <w:rsid w:val="00264DBD"/>
    <w:rsid w:val="002662B6"/>
    <w:rsid w:val="0027678A"/>
    <w:rsid w:val="00276E4C"/>
    <w:rsid w:val="00287123"/>
    <w:rsid w:val="00287DDF"/>
    <w:rsid w:val="002A1090"/>
    <w:rsid w:val="002A57CF"/>
    <w:rsid w:val="002A77FF"/>
    <w:rsid w:val="002C2223"/>
    <w:rsid w:val="002C6E2B"/>
    <w:rsid w:val="002D29DE"/>
    <w:rsid w:val="002D34BA"/>
    <w:rsid w:val="002E47CA"/>
    <w:rsid w:val="002E4D97"/>
    <w:rsid w:val="002E525F"/>
    <w:rsid w:val="002F234B"/>
    <w:rsid w:val="00304633"/>
    <w:rsid w:val="003059AB"/>
    <w:rsid w:val="003106F1"/>
    <w:rsid w:val="00321E65"/>
    <w:rsid w:val="00327AFA"/>
    <w:rsid w:val="0033731C"/>
    <w:rsid w:val="00352087"/>
    <w:rsid w:val="00354F0B"/>
    <w:rsid w:val="00362CC1"/>
    <w:rsid w:val="0036515F"/>
    <w:rsid w:val="003716B9"/>
    <w:rsid w:val="0037505A"/>
    <w:rsid w:val="003A6537"/>
    <w:rsid w:val="003D007E"/>
    <w:rsid w:val="003E3E15"/>
    <w:rsid w:val="003E5776"/>
    <w:rsid w:val="003F2EF3"/>
    <w:rsid w:val="004024E2"/>
    <w:rsid w:val="00404456"/>
    <w:rsid w:val="00420B3E"/>
    <w:rsid w:val="00446E00"/>
    <w:rsid w:val="0046389A"/>
    <w:rsid w:val="004A6C93"/>
    <w:rsid w:val="004C30DA"/>
    <w:rsid w:val="004C3CAF"/>
    <w:rsid w:val="004D46C0"/>
    <w:rsid w:val="004F69AD"/>
    <w:rsid w:val="00511BC1"/>
    <w:rsid w:val="00516F80"/>
    <w:rsid w:val="00517BCF"/>
    <w:rsid w:val="00525B8C"/>
    <w:rsid w:val="00545FEE"/>
    <w:rsid w:val="00550DF1"/>
    <w:rsid w:val="00560449"/>
    <w:rsid w:val="005774D6"/>
    <w:rsid w:val="005820B0"/>
    <w:rsid w:val="0058712C"/>
    <w:rsid w:val="00595143"/>
    <w:rsid w:val="005A1A03"/>
    <w:rsid w:val="005B6347"/>
    <w:rsid w:val="005F0459"/>
    <w:rsid w:val="006154A5"/>
    <w:rsid w:val="00652205"/>
    <w:rsid w:val="00652B1F"/>
    <w:rsid w:val="00656B58"/>
    <w:rsid w:val="00675962"/>
    <w:rsid w:val="006820BE"/>
    <w:rsid w:val="006910FE"/>
    <w:rsid w:val="006C7B0F"/>
    <w:rsid w:val="006D4139"/>
    <w:rsid w:val="006D790E"/>
    <w:rsid w:val="007042E5"/>
    <w:rsid w:val="00717BB9"/>
    <w:rsid w:val="00721A7D"/>
    <w:rsid w:val="00741ECD"/>
    <w:rsid w:val="007424D7"/>
    <w:rsid w:val="007478CD"/>
    <w:rsid w:val="00757152"/>
    <w:rsid w:val="00764810"/>
    <w:rsid w:val="00770BE1"/>
    <w:rsid w:val="00774BED"/>
    <w:rsid w:val="00776DCA"/>
    <w:rsid w:val="007840E1"/>
    <w:rsid w:val="007859BF"/>
    <w:rsid w:val="00793A37"/>
    <w:rsid w:val="007C3DA0"/>
    <w:rsid w:val="007D4420"/>
    <w:rsid w:val="00803871"/>
    <w:rsid w:val="0080546C"/>
    <w:rsid w:val="00813905"/>
    <w:rsid w:val="00835B9C"/>
    <w:rsid w:val="008365D6"/>
    <w:rsid w:val="00841A83"/>
    <w:rsid w:val="00842A2C"/>
    <w:rsid w:val="00871778"/>
    <w:rsid w:val="008858B7"/>
    <w:rsid w:val="0089187A"/>
    <w:rsid w:val="008A06D7"/>
    <w:rsid w:val="008A1B0B"/>
    <w:rsid w:val="008A3EBB"/>
    <w:rsid w:val="008C0669"/>
    <w:rsid w:val="008C2A7A"/>
    <w:rsid w:val="008C2EB1"/>
    <w:rsid w:val="008C59F5"/>
    <w:rsid w:val="00913A47"/>
    <w:rsid w:val="009366F7"/>
    <w:rsid w:val="009376CD"/>
    <w:rsid w:val="00943014"/>
    <w:rsid w:val="009651A7"/>
    <w:rsid w:val="00973447"/>
    <w:rsid w:val="00991D1B"/>
    <w:rsid w:val="009A3093"/>
    <w:rsid w:val="009D6750"/>
    <w:rsid w:val="009F1E04"/>
    <w:rsid w:val="00A04407"/>
    <w:rsid w:val="00A162EE"/>
    <w:rsid w:val="00A177A3"/>
    <w:rsid w:val="00A2026D"/>
    <w:rsid w:val="00A22477"/>
    <w:rsid w:val="00A319BB"/>
    <w:rsid w:val="00A34D68"/>
    <w:rsid w:val="00A5348B"/>
    <w:rsid w:val="00A55D0E"/>
    <w:rsid w:val="00A571EB"/>
    <w:rsid w:val="00A5740C"/>
    <w:rsid w:val="00A66348"/>
    <w:rsid w:val="00A725C3"/>
    <w:rsid w:val="00A84218"/>
    <w:rsid w:val="00AB639C"/>
    <w:rsid w:val="00AB74D1"/>
    <w:rsid w:val="00B07819"/>
    <w:rsid w:val="00B10089"/>
    <w:rsid w:val="00B226A7"/>
    <w:rsid w:val="00B26C4B"/>
    <w:rsid w:val="00B30790"/>
    <w:rsid w:val="00B32608"/>
    <w:rsid w:val="00B429C8"/>
    <w:rsid w:val="00B5330B"/>
    <w:rsid w:val="00B6185C"/>
    <w:rsid w:val="00B67A03"/>
    <w:rsid w:val="00B67F7E"/>
    <w:rsid w:val="00B70A12"/>
    <w:rsid w:val="00B71E66"/>
    <w:rsid w:val="00B721F1"/>
    <w:rsid w:val="00B825E7"/>
    <w:rsid w:val="00B85268"/>
    <w:rsid w:val="00B92F3A"/>
    <w:rsid w:val="00BC5741"/>
    <w:rsid w:val="00BD1443"/>
    <w:rsid w:val="00BD269E"/>
    <w:rsid w:val="00BD5C6F"/>
    <w:rsid w:val="00C1703F"/>
    <w:rsid w:val="00C3170A"/>
    <w:rsid w:val="00C322CA"/>
    <w:rsid w:val="00C34AB1"/>
    <w:rsid w:val="00C45300"/>
    <w:rsid w:val="00C45397"/>
    <w:rsid w:val="00C5013F"/>
    <w:rsid w:val="00C52094"/>
    <w:rsid w:val="00C6122F"/>
    <w:rsid w:val="00C644EC"/>
    <w:rsid w:val="00C679BB"/>
    <w:rsid w:val="00C935B3"/>
    <w:rsid w:val="00CB077F"/>
    <w:rsid w:val="00CB69A1"/>
    <w:rsid w:val="00CC33B5"/>
    <w:rsid w:val="00CD5E3C"/>
    <w:rsid w:val="00CD7A55"/>
    <w:rsid w:val="00CE2671"/>
    <w:rsid w:val="00CE5905"/>
    <w:rsid w:val="00CF698E"/>
    <w:rsid w:val="00D002C4"/>
    <w:rsid w:val="00D0180F"/>
    <w:rsid w:val="00D02ECD"/>
    <w:rsid w:val="00D040BE"/>
    <w:rsid w:val="00D072CD"/>
    <w:rsid w:val="00D31535"/>
    <w:rsid w:val="00D33DFE"/>
    <w:rsid w:val="00D444BA"/>
    <w:rsid w:val="00D51F68"/>
    <w:rsid w:val="00D56C1B"/>
    <w:rsid w:val="00D5726D"/>
    <w:rsid w:val="00D62A21"/>
    <w:rsid w:val="00D63D9C"/>
    <w:rsid w:val="00D732BB"/>
    <w:rsid w:val="00D75D1A"/>
    <w:rsid w:val="00D911AC"/>
    <w:rsid w:val="00D92EA9"/>
    <w:rsid w:val="00DC25F6"/>
    <w:rsid w:val="00DD55F4"/>
    <w:rsid w:val="00DE4519"/>
    <w:rsid w:val="00DE7874"/>
    <w:rsid w:val="00DF1C5C"/>
    <w:rsid w:val="00E174ED"/>
    <w:rsid w:val="00E23EAC"/>
    <w:rsid w:val="00E36D24"/>
    <w:rsid w:val="00E37A23"/>
    <w:rsid w:val="00E408AC"/>
    <w:rsid w:val="00E47CCE"/>
    <w:rsid w:val="00E528B9"/>
    <w:rsid w:val="00E54D02"/>
    <w:rsid w:val="00E71B7E"/>
    <w:rsid w:val="00EA33DF"/>
    <w:rsid w:val="00ED698B"/>
    <w:rsid w:val="00EE6028"/>
    <w:rsid w:val="00EF3FDA"/>
    <w:rsid w:val="00F23162"/>
    <w:rsid w:val="00F337CA"/>
    <w:rsid w:val="00F55FE1"/>
    <w:rsid w:val="00F709FB"/>
    <w:rsid w:val="00F71CF7"/>
    <w:rsid w:val="00F906E1"/>
    <w:rsid w:val="00F94905"/>
    <w:rsid w:val="00FB2F0E"/>
    <w:rsid w:val="00FB5D80"/>
    <w:rsid w:val="00FC54F8"/>
    <w:rsid w:val="00FD124C"/>
    <w:rsid w:val="00FD6697"/>
    <w:rsid w:val="00FE55DC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3D2F7A8A-CBAC-437D-912A-703402EE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B2F0E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FB2F0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FB2F0E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FB2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F0E"/>
    <w:rPr>
      <w:rFonts w:ascii="Arial" w:hAnsi="Arial" w:cs="Arial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6043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162EE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060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3zyJLk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serc.org.u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43bjGq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cience.cleapss.org.uk/Resource-Info/HC085A-Propanone-and-other-ketones-1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EA046-54C2-4EB9-B0B8-A4F3EFAA6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5945A-33BB-4C60-8521-95D3E3C278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91480-FC73-47AB-9780-27D4769F1E85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A65BF28B-12A9-43D6-AF0C-588337C05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</Pages>
  <Words>840</Words>
  <Characters>4793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5622</CharactersWithSpaces>
  <SharedDoc>false</SharedDoc>
  <HyperlinkBase/>
  <HLinks>
    <vt:vector size="24" baseType="variant">
      <vt:variant>
        <vt:i4>5242952</vt:i4>
      </vt:variant>
      <vt:variant>
        <vt:i4>9</vt:i4>
      </vt:variant>
      <vt:variant>
        <vt:i4>0</vt:i4>
      </vt:variant>
      <vt:variant>
        <vt:i4>5</vt:i4>
      </vt:variant>
      <vt:variant>
        <vt:lpwstr>https://www.sserc.org.uk/</vt:lpwstr>
      </vt:variant>
      <vt:variant>
        <vt:lpwstr/>
      </vt:variant>
      <vt:variant>
        <vt:i4>7405607</vt:i4>
      </vt:variant>
      <vt:variant>
        <vt:i4>6</vt:i4>
      </vt:variant>
      <vt:variant>
        <vt:i4>0</vt:i4>
      </vt:variant>
      <vt:variant>
        <vt:i4>5</vt:i4>
      </vt:variant>
      <vt:variant>
        <vt:lpwstr>https://science.cleapss.org.uk/Resource-Info/HC085A-Propanone-and-other-ketones-1.aspx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https://rsc.li/3zyJLkx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https://rsc.li/43bjGql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Leaf chromatography</dc:title>
  <dc:subject/>
  <dc:creator>Royal Society of Chemistry</dc:creator>
  <cp:keywords>practical, experiment, chemistry, chromatography, teacher notes, science, demonstration</cp:keywords>
  <dc:description>From Leaf chromatography: https://rsc.li/49nMlMP unscaffolded and scaffolded student sheets and slides also available</dc:description>
  <cp:lastModifiedBy>Emily Kelly</cp:lastModifiedBy>
  <cp:revision>77</cp:revision>
  <dcterms:created xsi:type="dcterms:W3CDTF">2026-05-18T22:24:00Z</dcterms:created>
  <dcterms:modified xsi:type="dcterms:W3CDTF">2026-06-03T09:38:00Z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