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48CD" w14:textId="478434C4" w:rsidR="005F286E" w:rsidRPr="003B7300" w:rsidRDefault="00CD3045" w:rsidP="00CF6E3E">
      <w:pPr>
        <w:pStyle w:val="RSCH1"/>
        <w:rPr>
          <w:color w:val="991E66"/>
        </w:rPr>
      </w:pPr>
      <w:r>
        <w:rPr>
          <w:color w:val="991E66"/>
        </w:rPr>
        <w:t>Shed new light on the two-faced reaction</w:t>
      </w:r>
    </w:p>
    <w:p w14:paraId="665E0536" w14:textId="70BD2EC3" w:rsidR="001A278F" w:rsidRPr="00FB29A1" w:rsidRDefault="00905E09" w:rsidP="002917E0">
      <w:pPr>
        <w:pStyle w:val="RSCBasictext"/>
        <w:rPr>
          <w:rStyle w:val="Hyperlink"/>
          <w:rFonts w:eastAsia="Calibri" w:cs="Calibri"/>
          <w:b/>
          <w:color w:val="222222"/>
          <w:u w:val="none"/>
          <w:lang w:eastAsia="en-GB"/>
        </w:rPr>
      </w:pPr>
      <w:bookmarkStart w:id="0" w:name="_Hlk133917238"/>
      <w:r w:rsidRPr="00FB29A1">
        <w:rPr>
          <w:lang w:eastAsia="en-GB"/>
        </w:rPr>
        <w:t>Th</w:t>
      </w:r>
      <w:r w:rsidR="00104CB2" w:rsidRPr="00FB29A1">
        <w:rPr>
          <w:lang w:eastAsia="en-GB"/>
        </w:rPr>
        <w:t>ese notes</w:t>
      </w:r>
      <w:r w:rsidRPr="00FB29A1">
        <w:rPr>
          <w:lang w:eastAsia="en-GB"/>
        </w:rPr>
        <w:t xml:space="preserve"> </w:t>
      </w:r>
      <w:r w:rsidR="00104CB2" w:rsidRPr="00FB29A1">
        <w:rPr>
          <w:lang w:eastAsia="en-GB"/>
        </w:rPr>
        <w:t>accompany</w:t>
      </w:r>
      <w:r w:rsidR="001A278F" w:rsidRPr="00FB29A1">
        <w:rPr>
          <w:lang w:eastAsia="en-GB"/>
        </w:rPr>
        <w:t xml:space="preserve"> the </w:t>
      </w:r>
      <w:r w:rsidR="00104CB2" w:rsidRPr="00FB29A1">
        <w:rPr>
          <w:lang w:eastAsia="en-GB"/>
        </w:rPr>
        <w:t>video demonstration</w:t>
      </w:r>
      <w:r w:rsidR="001A278F" w:rsidRPr="00FB29A1">
        <w:rPr>
          <w:lang w:eastAsia="en-GB"/>
        </w:rPr>
        <w:t xml:space="preserve"> </w:t>
      </w:r>
      <w:r w:rsidR="00FB29A1" w:rsidRPr="00FB29A1">
        <w:rPr>
          <w:rFonts w:eastAsia="Calibri" w:cs="Calibri"/>
          <w:b/>
          <w:color w:val="222222"/>
        </w:rPr>
        <w:t>Shed new light on the two-faced reaction</w:t>
      </w:r>
      <w:r w:rsidR="00104CB2" w:rsidRPr="00FB29A1">
        <w:rPr>
          <w:rFonts w:eastAsia="Calibri" w:cs="Calibri"/>
          <w:b/>
          <w:color w:val="222222"/>
        </w:rPr>
        <w:t xml:space="preserve"> </w:t>
      </w:r>
      <w:r w:rsidR="00B63F7E" w:rsidRPr="00FB29A1">
        <w:rPr>
          <w:lang w:eastAsia="en-GB"/>
        </w:rPr>
        <w:t xml:space="preserve">from </w:t>
      </w:r>
      <w:r w:rsidR="00B63F7E" w:rsidRPr="00FB29A1">
        <w:rPr>
          <w:i/>
          <w:iCs/>
          <w:lang w:eastAsia="en-GB"/>
        </w:rPr>
        <w:t>Education in Chemistry</w:t>
      </w:r>
      <w:r w:rsidR="00F878D4">
        <w:rPr>
          <w:lang w:eastAsia="en-GB"/>
        </w:rPr>
        <w:t xml:space="preserve">, available </w:t>
      </w:r>
      <w:r w:rsidR="001A278F" w:rsidRPr="00FB29A1">
        <w:rPr>
          <w:lang w:eastAsia="en-GB"/>
        </w:rPr>
        <w:t xml:space="preserve">at: </w:t>
      </w:r>
      <w:hyperlink r:id="rId11" w:history="1">
        <w:r w:rsidR="00FB29A1" w:rsidRPr="00FB29A1">
          <w:rPr>
            <w:rStyle w:val="Hyperlink"/>
          </w:rPr>
          <w:t>rsc.li/4qBduTI</w:t>
        </w:r>
      </w:hyperlink>
    </w:p>
    <w:p w14:paraId="043B14B9" w14:textId="77777777" w:rsidR="00FB29A1" w:rsidRDefault="003979ED" w:rsidP="00104CB2">
      <w:pPr>
        <w:pStyle w:val="RSCH2"/>
        <w:rPr>
          <w:color w:val="8E1055"/>
          <w:lang w:eastAsia="en-GB"/>
        </w:rPr>
      </w:pPr>
      <w:r>
        <w:rPr>
          <w:color w:val="8E1055"/>
          <w:lang w:eastAsia="en-GB"/>
        </w:rPr>
        <w:t>Curriculum links</w:t>
      </w:r>
    </w:p>
    <w:p w14:paraId="08DD7BF0" w14:textId="46F6EC73" w:rsidR="00FB29A1" w:rsidRPr="00FB29A1" w:rsidRDefault="00FB29A1" w:rsidP="002917E0">
      <w:pPr>
        <w:pStyle w:val="RSCBasictext"/>
        <w:rPr>
          <w:b/>
          <w:bCs/>
          <w:color w:val="8E1055"/>
          <w:sz w:val="28"/>
          <w:lang w:eastAsia="en-GB"/>
        </w:rPr>
      </w:pPr>
      <w:r w:rsidRPr="00CD3045">
        <w:rPr>
          <w:lang w:eastAsia="en-GB"/>
        </w:rPr>
        <w:t>This</w:t>
      </w:r>
      <w:r w:rsidRPr="00FB29A1">
        <w:rPr>
          <w:lang w:eastAsia="en-GB"/>
        </w:rPr>
        <w:t xml:space="preserve"> variation of </w:t>
      </w:r>
      <w:r w:rsidRPr="00CD3045">
        <w:rPr>
          <w:lang w:eastAsia="en-GB"/>
        </w:rPr>
        <w:t>two-faced reaction</w:t>
      </w:r>
      <w:r w:rsidRPr="00FB29A1">
        <w:rPr>
          <w:lang w:eastAsia="en-GB"/>
        </w:rPr>
        <w:t xml:space="preserve"> uses methylene blue instead of thionine to make the effects easier to observe. </w:t>
      </w:r>
      <w:r w:rsidRPr="00CD3045">
        <w:rPr>
          <w:lang w:eastAsia="en-GB"/>
        </w:rPr>
        <w:t>Use this demonstration to</w:t>
      </w:r>
      <w:r>
        <w:rPr>
          <w:b/>
          <w:bCs/>
          <w:lang w:eastAsia="en-GB"/>
        </w:rPr>
        <w:t xml:space="preserve"> </w:t>
      </w:r>
      <w:r w:rsidR="00DE54D4" w:rsidRPr="00DE54D4">
        <w:rPr>
          <w:lang w:eastAsia="en-GB"/>
        </w:rPr>
        <w:t>support lessons on electrode potentials and the thermodynamics of redox reactions</w:t>
      </w:r>
      <w:r w:rsidR="00CD3045">
        <w:rPr>
          <w:lang w:eastAsia="en-GB"/>
        </w:rPr>
        <w:t xml:space="preserve"> for your 14</w:t>
      </w:r>
      <w:r w:rsidR="00CD3045" w:rsidRPr="002917E0">
        <w:rPr>
          <w:lang w:eastAsia="en-GB"/>
        </w:rPr>
        <w:t>–</w:t>
      </w:r>
      <w:r w:rsidR="00CD3045">
        <w:rPr>
          <w:lang w:eastAsia="en-GB"/>
        </w:rPr>
        <w:t>16 and post-16 learners.</w:t>
      </w:r>
    </w:p>
    <w:p w14:paraId="4449B9EA" w14:textId="22C45DDD" w:rsidR="00104CB2" w:rsidRDefault="00FB29A1" w:rsidP="00104CB2">
      <w:pPr>
        <w:pStyle w:val="RSCH2"/>
        <w:rPr>
          <w:color w:val="8E1055"/>
          <w:lang w:eastAsia="en-GB"/>
        </w:rPr>
      </w:pPr>
      <w:r>
        <w:rPr>
          <w:noProof/>
          <w:sz w:val="20"/>
          <w:szCs w:val="20"/>
          <w:lang w:eastAsia="en-US"/>
        </w:rPr>
        <w:drawing>
          <wp:anchor distT="0" distB="0" distL="114300" distR="114300" simplePos="0" relativeHeight="251660293" behindDoc="1" locked="0" layoutInCell="1" allowOverlap="1" wp14:anchorId="5C21F165" wp14:editId="241535E0">
            <wp:simplePos x="0" y="0"/>
            <wp:positionH relativeFrom="column">
              <wp:posOffset>4505325</wp:posOffset>
            </wp:positionH>
            <wp:positionV relativeFrom="paragraph">
              <wp:posOffset>514350</wp:posOffset>
            </wp:positionV>
            <wp:extent cx="361950" cy="361950"/>
            <wp:effectExtent l="0" t="0" r="0" b="0"/>
            <wp:wrapTight wrapText="bothSides">
              <wp:wrapPolygon edited="0">
                <wp:start x="0" y="0"/>
                <wp:lineTo x="0" y="20463"/>
                <wp:lineTo x="20463" y="20463"/>
                <wp:lineTo x="20463" y="0"/>
                <wp:lineTo x="0" y="0"/>
              </wp:wrapPolygon>
            </wp:wrapTight>
            <wp:docPr id="992641412" name="Picture 992641412" descr="Health hazard (Symbol: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 hazard (Symbol: exclamation mar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D96BF4">
        <w:rPr>
          <w:color w:val="8E1055"/>
          <w:lang w:eastAsia="en-GB"/>
        </w:rPr>
        <w:t>Kit</w:t>
      </w:r>
    </w:p>
    <w:p w14:paraId="048F5527" w14:textId="59DCA23E" w:rsidR="00FB29A1" w:rsidRPr="00FB29A1" w:rsidRDefault="00FB29A1" w:rsidP="00FB29A1">
      <w:pPr>
        <w:pStyle w:val="RSCBulletedlist"/>
      </w:pPr>
      <w:r w:rsidRPr="00FB29A1">
        <w:t xml:space="preserve">0.4 g </w:t>
      </w:r>
      <w:proofErr w:type="gramStart"/>
      <w:r w:rsidRPr="00FB29A1">
        <w:t>iron(</w:t>
      </w:r>
      <w:proofErr w:type="gramEnd"/>
      <w:r w:rsidR="00F04DEF">
        <w:rPr>
          <w:smallCaps/>
        </w:rPr>
        <w:t>ii</w:t>
      </w:r>
      <w:r w:rsidRPr="00FB29A1">
        <w:t xml:space="preserve">) </w:t>
      </w:r>
      <w:proofErr w:type="spellStart"/>
      <w:r w:rsidRPr="00FB29A1">
        <w:t>sulfate</w:t>
      </w:r>
      <w:proofErr w:type="spellEnd"/>
      <w:r w:rsidRPr="00FB29A1">
        <w:t xml:space="preserve"> heptahydrate (irritating to skin and eyes)</w:t>
      </w:r>
      <w:r>
        <w:t xml:space="preserve"> </w:t>
      </w:r>
    </w:p>
    <w:p w14:paraId="09C25B30" w14:textId="7DFC265D" w:rsidR="00FB29A1" w:rsidRPr="00FB29A1" w:rsidRDefault="00FB29A1" w:rsidP="00FB29A1">
      <w:pPr>
        <w:pStyle w:val="RSCBulletedlist"/>
      </w:pPr>
      <w:r w:rsidRPr="00FB29A1">
        <w:t>0.4 g citric acid</w:t>
      </w:r>
    </w:p>
    <w:p w14:paraId="003105C0" w14:textId="77777777" w:rsidR="00FB29A1" w:rsidRPr="00FB29A1" w:rsidRDefault="00FB29A1" w:rsidP="00FB29A1">
      <w:pPr>
        <w:pStyle w:val="RSCBulletedlist"/>
      </w:pPr>
      <w:r w:rsidRPr="00FB29A1">
        <w:t>0.5 cm</w:t>
      </w:r>
      <w:r w:rsidRPr="00892B56">
        <w:rPr>
          <w:vertAlign w:val="superscript"/>
        </w:rPr>
        <w:t>3</w:t>
      </w:r>
      <w:r w:rsidRPr="00FB29A1">
        <w:t> methylene blue solution, 0.1% w/v</w:t>
      </w:r>
    </w:p>
    <w:p w14:paraId="73B64AE6" w14:textId="77777777" w:rsidR="00FB29A1" w:rsidRPr="00FB29A1" w:rsidRDefault="00FB29A1" w:rsidP="00FB29A1">
      <w:pPr>
        <w:pStyle w:val="RSCBulletedlist"/>
      </w:pPr>
      <w:r w:rsidRPr="00FB29A1">
        <w:t>50 cm</w:t>
      </w:r>
      <w:r w:rsidRPr="00892B56">
        <w:rPr>
          <w:vertAlign w:val="superscript"/>
        </w:rPr>
        <w:t>3</w:t>
      </w:r>
      <w:r w:rsidRPr="00FB29A1">
        <w:t> cell culture flask with cap</w:t>
      </w:r>
    </w:p>
    <w:p w14:paraId="33644395" w14:textId="1EBFFB2A" w:rsidR="00FB29A1" w:rsidRPr="00FB29A1" w:rsidRDefault="00FB29A1" w:rsidP="00FB29A1">
      <w:pPr>
        <w:pStyle w:val="RSCBulletedlist"/>
      </w:pPr>
      <w:r w:rsidRPr="00FB29A1">
        <w:t>LED work</w:t>
      </w:r>
      <w:r w:rsidR="003E0E59">
        <w:t xml:space="preserve"> </w:t>
      </w:r>
      <w:r w:rsidRPr="00FB29A1">
        <w:t>light (CLEAPSS members see PS052)</w:t>
      </w:r>
    </w:p>
    <w:p w14:paraId="28816DE4" w14:textId="77777777" w:rsidR="00FB29A1" w:rsidRPr="00FB29A1" w:rsidRDefault="00FB29A1" w:rsidP="00FB29A1">
      <w:pPr>
        <w:pStyle w:val="RSCBulletedlist"/>
      </w:pPr>
      <w:r w:rsidRPr="00FB29A1">
        <w:t>Opaque card or similar (credit card sized) for masking the light</w:t>
      </w:r>
    </w:p>
    <w:p w14:paraId="0861979A" w14:textId="77777777" w:rsidR="00FB29A1" w:rsidRPr="00FB29A1" w:rsidRDefault="00FB29A1" w:rsidP="00FB29A1">
      <w:pPr>
        <w:pStyle w:val="RSCBulletedlist"/>
      </w:pPr>
      <w:r w:rsidRPr="00FB29A1">
        <w:t>Coloured filters (optional)</w:t>
      </w:r>
    </w:p>
    <w:p w14:paraId="177A9F5D" w14:textId="4465DB14" w:rsidR="00307510" w:rsidRDefault="00DE07EA" w:rsidP="00803338">
      <w:pPr>
        <w:pStyle w:val="RSCH2"/>
        <w:rPr>
          <w:color w:val="8E1055"/>
          <w:lang w:eastAsia="en-GB"/>
        </w:rPr>
      </w:pPr>
      <w:r>
        <w:rPr>
          <w:noProof/>
          <w:color w:val="8E1055"/>
          <w:lang w:eastAsia="en-GB"/>
        </w:rPr>
        <mc:AlternateContent>
          <mc:Choice Requires="wps">
            <w:drawing>
              <wp:anchor distT="0" distB="0" distL="114300" distR="114300" simplePos="0" relativeHeight="251658245" behindDoc="0" locked="0" layoutInCell="1" allowOverlap="1" wp14:anchorId="12927465" wp14:editId="2D1DA59B">
                <wp:simplePos x="0" y="0"/>
                <wp:positionH relativeFrom="margin">
                  <wp:posOffset>-76200</wp:posOffset>
                </wp:positionH>
                <wp:positionV relativeFrom="paragraph">
                  <wp:posOffset>182880</wp:posOffset>
                </wp:positionV>
                <wp:extent cx="5886450" cy="2914650"/>
                <wp:effectExtent l="19050" t="19050" r="19050" b="19050"/>
                <wp:wrapNone/>
                <wp:docPr id="1637401273" name="Rectangle 1"/>
                <wp:cNvGraphicFramePr/>
                <a:graphic xmlns:a="http://schemas.openxmlformats.org/drawingml/2006/main">
                  <a:graphicData uri="http://schemas.microsoft.com/office/word/2010/wordprocessingShape">
                    <wps:wsp>
                      <wps:cNvSpPr/>
                      <wps:spPr>
                        <a:xfrm>
                          <a:off x="0" y="0"/>
                          <a:ext cx="5886450" cy="2914650"/>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555CA" id="Rectangle 1" o:spid="_x0000_s1026" style="position:absolute;margin-left:-6pt;margin-top:14.4pt;width:463.5pt;height:229.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" filled="f" strokecolor="#991e66 [3204]" strokeweight="2.25pt">
                <w10:wrap anchorx="margin"/>
              </v:rect>
            </w:pict>
          </mc:Fallback>
        </mc:AlternateContent>
      </w:r>
      <w:r w:rsidR="00D96BF4">
        <w:rPr>
          <w:color w:val="8E1055"/>
          <w:lang w:eastAsia="en-GB"/>
        </w:rPr>
        <w:t>Health, s</w:t>
      </w:r>
      <w:r w:rsidR="00307510">
        <w:rPr>
          <w:color w:val="8E1055"/>
          <w:lang w:eastAsia="en-GB"/>
        </w:rPr>
        <w:t xml:space="preserve">afety </w:t>
      </w:r>
      <w:r w:rsidR="00D96BF4">
        <w:rPr>
          <w:color w:val="8E1055"/>
          <w:lang w:eastAsia="en-GB"/>
        </w:rPr>
        <w:t>and disposal</w:t>
      </w:r>
    </w:p>
    <w:p w14:paraId="413566BC" w14:textId="363E40DC" w:rsidR="00071B48" w:rsidRDefault="00071B48" w:rsidP="002917E0">
      <w:pPr>
        <w:pStyle w:val="RSCBulletedlist"/>
        <w:rPr>
          <w:lang w:eastAsia="en-GB"/>
        </w:rPr>
      </w:pPr>
      <w:r w:rsidRPr="00000624">
        <w:t>Read our standard health and safety guidance</w:t>
      </w:r>
      <w:r w:rsidR="00B63F7E">
        <w:rPr>
          <w:rFonts w:ascii="Calibri" w:hAnsi="Calibri"/>
          <w:lang w:eastAsia="en-US"/>
        </w:rPr>
        <w:t xml:space="preserve"> </w:t>
      </w:r>
      <w:r>
        <w:t>and carry out a risk assessment before running any live practical</w:t>
      </w:r>
      <w:r w:rsidR="002917E0">
        <w:t xml:space="preserve"> </w:t>
      </w:r>
      <w:r w:rsidR="002917E0">
        <w:rPr>
          <w:rStyle w:val="Hyperlink"/>
          <w:color w:val="auto"/>
          <w:u w:val="none"/>
        </w:rPr>
        <w:t>(</w:t>
      </w:r>
      <w:r w:rsidR="002917E0" w:rsidRPr="002917E0">
        <w:rPr>
          <w:lang w:eastAsia="en-US"/>
        </w:rPr>
        <w:t>rsc.li/4mO9EVF</w:t>
      </w:r>
      <w:r w:rsidR="002917E0">
        <w:rPr>
          <w:lang w:eastAsia="en-US"/>
        </w:rPr>
        <w:t>).</w:t>
      </w:r>
    </w:p>
    <w:p w14:paraId="08FC8886" w14:textId="42C7EE26" w:rsidR="002917E0" w:rsidRDefault="002917E0" w:rsidP="002917E0">
      <w:pPr>
        <w:pStyle w:val="RSCBulletedlist"/>
        <w:rPr>
          <w:lang w:eastAsia="en-GB"/>
        </w:rPr>
      </w:pPr>
      <w:r>
        <w:t>Wear eye protection.</w:t>
      </w:r>
    </w:p>
    <w:p w14:paraId="2474A17E" w14:textId="26865BA1" w:rsidR="002917E0" w:rsidRPr="002917E0" w:rsidRDefault="002917E0" w:rsidP="002917E0">
      <w:pPr>
        <w:pStyle w:val="RSCBulletedlist"/>
        <w:rPr>
          <w:lang w:eastAsia="en-GB"/>
        </w:rPr>
      </w:pPr>
      <w:r w:rsidRPr="002917E0">
        <w:rPr>
          <w:lang w:eastAsia="en-GB"/>
        </w:rPr>
        <w:t xml:space="preserve">CLEAPSS members should consult HC032 and RB108 when making up the methylene blue solution, SSERC members should consult the </w:t>
      </w:r>
      <w:r w:rsidR="00B911BF" w:rsidRPr="002917E0">
        <w:rPr>
          <w:lang w:eastAsia="en-GB"/>
        </w:rPr>
        <w:t>Chemistry</w:t>
      </w:r>
      <w:r w:rsidRPr="002917E0">
        <w:rPr>
          <w:lang w:eastAsia="en-GB"/>
        </w:rPr>
        <w:t xml:space="preserve"> health and safety </w:t>
      </w:r>
      <w:proofErr w:type="gramStart"/>
      <w:r w:rsidRPr="002917E0">
        <w:rPr>
          <w:lang w:eastAsia="en-GB"/>
        </w:rPr>
        <w:t>page, or</w:t>
      </w:r>
      <w:proofErr w:type="gramEnd"/>
      <w:r w:rsidRPr="002917E0">
        <w:rPr>
          <w:lang w:eastAsia="en-GB"/>
        </w:rPr>
        <w:t xml:space="preserve"> consult your local safety authority body. The solution itself is not classified as hazardous at the concentration used in this demonstration.</w:t>
      </w:r>
    </w:p>
    <w:p w14:paraId="010FE1EF" w14:textId="77777777" w:rsidR="002917E0" w:rsidRPr="002917E0" w:rsidRDefault="002917E0" w:rsidP="002917E0">
      <w:pPr>
        <w:pStyle w:val="RSCBulletedlist"/>
        <w:rPr>
          <w:lang w:eastAsia="en-GB"/>
        </w:rPr>
      </w:pPr>
      <w:proofErr w:type="gramStart"/>
      <w:r w:rsidRPr="002917E0">
        <w:rPr>
          <w:lang w:eastAsia="en-GB"/>
        </w:rPr>
        <w:t>Iron(</w:t>
      </w:r>
      <w:proofErr w:type="gramEnd"/>
      <w:r w:rsidRPr="002917E0">
        <w:rPr>
          <w:lang w:eastAsia="en-GB"/>
        </w:rPr>
        <w:t xml:space="preserve">II) </w:t>
      </w:r>
      <w:proofErr w:type="spellStart"/>
      <w:r w:rsidRPr="002917E0">
        <w:rPr>
          <w:lang w:eastAsia="en-GB"/>
        </w:rPr>
        <w:t>sulfate</w:t>
      </w:r>
      <w:proofErr w:type="spellEnd"/>
      <w:r w:rsidRPr="002917E0">
        <w:rPr>
          <w:lang w:eastAsia="en-GB"/>
        </w:rPr>
        <w:t xml:space="preserve"> heptahydrate is irritating to skin and eyes.</w:t>
      </w:r>
    </w:p>
    <w:p w14:paraId="09CFFC0A" w14:textId="25FDC40E" w:rsidR="002917E0" w:rsidRPr="002917E0" w:rsidRDefault="002917E0" w:rsidP="002917E0">
      <w:pPr>
        <w:pStyle w:val="RSCBulletedlist"/>
        <w:rPr>
          <w:lang w:eastAsia="en-GB"/>
        </w:rPr>
      </w:pPr>
      <w:r w:rsidRPr="002917E0">
        <w:rPr>
          <w:lang w:eastAsia="en-GB"/>
        </w:rPr>
        <w:t xml:space="preserve">See CLEAPSS PS052 for safe use instructions for the LED </w:t>
      </w:r>
      <w:r w:rsidR="00B911BF" w:rsidRPr="002917E0">
        <w:rPr>
          <w:lang w:eastAsia="en-GB"/>
        </w:rPr>
        <w:t>work light</w:t>
      </w:r>
      <w:r w:rsidRPr="002917E0">
        <w:rPr>
          <w:lang w:eastAsia="en-GB"/>
        </w:rPr>
        <w:t xml:space="preserve"> or consult your local safety authority.</w:t>
      </w:r>
    </w:p>
    <w:bookmarkEnd w:id="0"/>
    <w:p w14:paraId="19F8326F" w14:textId="77777777" w:rsidR="002917E0" w:rsidRPr="002917E0" w:rsidRDefault="002917E0" w:rsidP="002917E0">
      <w:pPr>
        <w:pStyle w:val="RSCBulletedlist"/>
        <w:rPr>
          <w:lang w:eastAsia="en-GB"/>
        </w:rPr>
      </w:pPr>
      <w:r w:rsidRPr="002917E0">
        <w:rPr>
          <w:lang w:eastAsia="en-GB"/>
        </w:rPr>
        <w:t>Dispose of the solution down a foul water drain with plenty of water.</w:t>
      </w:r>
    </w:p>
    <w:p w14:paraId="522D16BD" w14:textId="63F512FD" w:rsidR="00D00AB5" w:rsidRPr="002917E0" w:rsidRDefault="00D00AB5" w:rsidP="002917E0">
      <w:pPr>
        <w:pStyle w:val="RSCBulletedlist"/>
        <w:numPr>
          <w:ilvl w:val="0"/>
          <w:numId w:val="0"/>
        </w:numPr>
        <w:rPr>
          <w:lang w:eastAsia="en-GB"/>
        </w:rPr>
      </w:pPr>
    </w:p>
    <w:p w14:paraId="446B8562" w14:textId="77777777" w:rsidR="002917E0" w:rsidRDefault="002917E0" w:rsidP="00E045BB">
      <w:pPr>
        <w:pStyle w:val="RSCH2"/>
        <w:rPr>
          <w:color w:val="8E1055"/>
          <w:lang w:eastAsia="en-GB"/>
        </w:rPr>
      </w:pPr>
    </w:p>
    <w:p w14:paraId="683AC193" w14:textId="2D8E3A9E" w:rsidR="00FB29A1" w:rsidRDefault="00082470" w:rsidP="00E045BB">
      <w:pPr>
        <w:pStyle w:val="RSCH2"/>
        <w:rPr>
          <w:color w:val="8E1055"/>
          <w:lang w:eastAsia="en-GB"/>
        </w:rPr>
      </w:pPr>
      <w:r>
        <w:rPr>
          <w:color w:val="8E1055"/>
          <w:lang w:eastAsia="en-GB"/>
        </w:rPr>
        <w:lastRenderedPageBreak/>
        <w:t>Preparation</w:t>
      </w:r>
    </w:p>
    <w:p w14:paraId="7A849CCB" w14:textId="0F9B4BDF" w:rsidR="00FB29A1" w:rsidRDefault="00FB29A1" w:rsidP="002917E0">
      <w:pPr>
        <w:pStyle w:val="RSCBasictext"/>
        <w:rPr>
          <w:b/>
          <w:bCs/>
          <w:lang w:eastAsia="en-GB"/>
        </w:rPr>
      </w:pPr>
      <w:r w:rsidRPr="00FB29A1">
        <w:rPr>
          <w:lang w:eastAsia="en-GB"/>
        </w:rPr>
        <w:t xml:space="preserve">Dissolve 0.4 g of </w:t>
      </w:r>
      <w:proofErr w:type="gramStart"/>
      <w:r w:rsidRPr="00FB29A1">
        <w:rPr>
          <w:lang w:eastAsia="en-GB"/>
        </w:rPr>
        <w:t>iron(</w:t>
      </w:r>
      <w:proofErr w:type="gramEnd"/>
      <w:r w:rsidR="00F04DEF" w:rsidRPr="00F04DEF">
        <w:rPr>
          <w:smallCaps/>
          <w:lang w:eastAsia="en-GB"/>
        </w:rPr>
        <w:t>ii</w:t>
      </w:r>
      <w:r w:rsidRPr="00FB29A1">
        <w:rPr>
          <w:lang w:eastAsia="en-GB"/>
        </w:rPr>
        <w:t xml:space="preserve">) </w:t>
      </w:r>
      <w:proofErr w:type="spellStart"/>
      <w:r w:rsidRPr="00FB29A1">
        <w:rPr>
          <w:lang w:eastAsia="en-GB"/>
        </w:rPr>
        <w:t>sulfate</w:t>
      </w:r>
      <w:proofErr w:type="spellEnd"/>
      <w:r w:rsidRPr="00FB29A1">
        <w:rPr>
          <w:lang w:eastAsia="en-GB"/>
        </w:rPr>
        <w:t xml:space="preserve"> heptahydrate and 0.4 g of citric acid in approximately 100 cm</w:t>
      </w:r>
      <w:r w:rsidRPr="00FB29A1">
        <w:rPr>
          <w:vertAlign w:val="superscript"/>
          <w:lang w:eastAsia="en-GB"/>
        </w:rPr>
        <w:t>3</w:t>
      </w:r>
      <w:r w:rsidRPr="00FB29A1">
        <w:rPr>
          <w:lang w:eastAsia="en-GB"/>
        </w:rPr>
        <w:t> of deionised water. Add about 0.5 cm</w:t>
      </w:r>
      <w:r w:rsidRPr="00FB29A1">
        <w:rPr>
          <w:vertAlign w:val="superscript"/>
          <w:lang w:eastAsia="en-GB"/>
        </w:rPr>
        <w:t>3</w:t>
      </w:r>
      <w:r w:rsidRPr="00FB29A1">
        <w:rPr>
          <w:lang w:eastAsia="en-GB"/>
        </w:rPr>
        <w:t xml:space="preserve"> of 0.1% methylene blue solution. The solution is similar in hue and intensity to a 0.5 M copper </w:t>
      </w:r>
      <w:proofErr w:type="spellStart"/>
      <w:r w:rsidRPr="00FB29A1">
        <w:rPr>
          <w:lang w:eastAsia="en-GB"/>
        </w:rPr>
        <w:t>sulfate</w:t>
      </w:r>
      <w:proofErr w:type="spellEnd"/>
      <w:r w:rsidRPr="00FB29A1">
        <w:rPr>
          <w:lang w:eastAsia="en-GB"/>
        </w:rPr>
        <w:t xml:space="preserve"> solution. Fill the cell culture flask with approximately 50 cm</w:t>
      </w:r>
      <w:r w:rsidRPr="00FB29A1">
        <w:rPr>
          <w:vertAlign w:val="superscript"/>
          <w:lang w:eastAsia="en-GB"/>
        </w:rPr>
        <w:t>3</w:t>
      </w:r>
      <w:r w:rsidRPr="00FB29A1">
        <w:rPr>
          <w:lang w:eastAsia="en-GB"/>
        </w:rPr>
        <w:t> of this solution, close the cap tightly and let it settle.</w:t>
      </w:r>
    </w:p>
    <w:p w14:paraId="5F85441B" w14:textId="77777777" w:rsidR="002917E0" w:rsidRDefault="00E045BB" w:rsidP="00145BB7">
      <w:pPr>
        <w:pStyle w:val="RSCH2"/>
        <w:rPr>
          <w:color w:val="8E1055"/>
          <w:lang w:eastAsia="en-GB"/>
        </w:rPr>
      </w:pPr>
      <w:r w:rsidRPr="00E045BB">
        <w:rPr>
          <w:color w:val="991E66" w:themeColor="accent1"/>
          <w:lang w:eastAsia="en-GB"/>
        </w:rPr>
        <w:t>In front of the class</w:t>
      </w:r>
    </w:p>
    <w:p w14:paraId="66E744CB" w14:textId="277BA607" w:rsidR="00FB29A1" w:rsidRPr="002917E0" w:rsidRDefault="00FB29A1" w:rsidP="002917E0">
      <w:pPr>
        <w:pStyle w:val="RSCBasictext"/>
        <w:rPr>
          <w:b/>
          <w:bCs/>
          <w:color w:val="8E1055"/>
          <w:sz w:val="28"/>
          <w:lang w:eastAsia="en-GB"/>
        </w:rPr>
      </w:pPr>
      <w:r w:rsidRPr="00FB29A1">
        <w:rPr>
          <w:lang w:eastAsia="en-GB"/>
        </w:rPr>
        <w:t xml:space="preserve">Position the LED </w:t>
      </w:r>
      <w:r w:rsidR="000209E2" w:rsidRPr="00FB29A1">
        <w:rPr>
          <w:lang w:eastAsia="en-GB"/>
        </w:rPr>
        <w:t>work light</w:t>
      </w:r>
      <w:r w:rsidRPr="00FB29A1">
        <w:rPr>
          <w:lang w:eastAsia="en-GB"/>
        </w:rPr>
        <w:t xml:space="preserve"> on a bench shining towards the ceiling. Use the opaque card to mask part of the light. Lay the cell culture flask on its side, with half of it on the card and half directly in the light. Position a white wall or screen behind the flask to help visualise the colour. Within a few seconds, the illuminated part of the solution will decolourise</w:t>
      </w:r>
      <w:r w:rsidR="00F64F0F">
        <w:rPr>
          <w:lang w:eastAsia="en-GB"/>
        </w:rPr>
        <w:t>,</w:t>
      </w:r>
      <w:r w:rsidRPr="00FB29A1">
        <w:rPr>
          <w:lang w:eastAsia="en-GB"/>
        </w:rPr>
        <w:t xml:space="preserve"> while the shaded section will remain blue. Switch the light back off and watch the colour return to the shaded section.</w:t>
      </w:r>
    </w:p>
    <w:p w14:paraId="4529F9E2" w14:textId="1C3636F6" w:rsidR="00145BB7" w:rsidRDefault="00145BB7" w:rsidP="00145BB7">
      <w:pPr>
        <w:pStyle w:val="RSCH2"/>
        <w:rPr>
          <w:color w:val="991E66" w:themeColor="accent1"/>
          <w:lang w:eastAsia="en-GB"/>
        </w:rPr>
      </w:pPr>
      <w:r>
        <w:rPr>
          <w:color w:val="991E66" w:themeColor="accent1"/>
          <w:lang w:eastAsia="en-GB"/>
        </w:rPr>
        <w:t>Teaching goal</w:t>
      </w:r>
    </w:p>
    <w:p w14:paraId="33D919D2" w14:textId="66B19CA8" w:rsidR="00145BB7" w:rsidRDefault="002917E0" w:rsidP="00145BB7">
      <w:pPr>
        <w:pStyle w:val="RSCBasictext"/>
        <w:rPr>
          <w:lang w:eastAsia="en-GB"/>
        </w:rPr>
      </w:pPr>
      <w:r w:rsidRPr="002917E0">
        <w:rPr>
          <w:lang w:eastAsia="en-GB"/>
        </w:rPr>
        <w:t>This demonstration supports lessons on electrode potentials and the thermodynamics of redox reactions (e.g. spontaneity). With a small extension you can also show how kinetics often overrides a prediction made using thermodynamics alone.</w:t>
      </w:r>
      <w:r w:rsidR="00385B8C">
        <w:rPr>
          <w:lang w:eastAsia="en-GB"/>
        </w:rPr>
        <w:t xml:space="preserve"> </w:t>
      </w:r>
    </w:p>
    <w:p w14:paraId="1BE64898" w14:textId="241AE4D4" w:rsidR="002917E0" w:rsidRDefault="002917E0" w:rsidP="00145BB7">
      <w:pPr>
        <w:pStyle w:val="RSCBasictext"/>
        <w:rPr>
          <w:lang w:eastAsia="en-GB"/>
        </w:rPr>
      </w:pPr>
      <w:r w:rsidRPr="002917E0">
        <w:rPr>
          <w:lang w:eastAsia="en-GB"/>
        </w:rPr>
        <w:t>In this experiment, methylene blue has a coloured cationic form (MB</w:t>
      </w:r>
      <w:r w:rsidRPr="002917E0">
        <w:rPr>
          <w:vertAlign w:val="superscript"/>
          <w:lang w:eastAsia="en-GB"/>
        </w:rPr>
        <w:t>+</w:t>
      </w:r>
      <w:r w:rsidRPr="002917E0">
        <w:rPr>
          <w:lang w:eastAsia="en-GB"/>
        </w:rPr>
        <w:t xml:space="preserve">) and a colourless reduced form, </w:t>
      </w:r>
      <w:proofErr w:type="spellStart"/>
      <w:r w:rsidRPr="002917E0">
        <w:rPr>
          <w:lang w:eastAsia="en-GB"/>
        </w:rPr>
        <w:t>leucomethylene</w:t>
      </w:r>
      <w:proofErr w:type="spellEnd"/>
      <w:r w:rsidRPr="002917E0">
        <w:rPr>
          <w:lang w:eastAsia="en-GB"/>
        </w:rPr>
        <w:t xml:space="preserve"> blue (LMBH). In the low pH of the citric acid solution (approximately pH 2.5), LMBH is further protonated to LMBH</w:t>
      </w:r>
      <w:r w:rsidRPr="002917E0">
        <w:rPr>
          <w:vertAlign w:val="subscript"/>
          <w:lang w:eastAsia="en-GB"/>
        </w:rPr>
        <w:t>3</w:t>
      </w:r>
      <w:r w:rsidRPr="002917E0">
        <w:rPr>
          <w:vertAlign w:val="superscript"/>
          <w:lang w:eastAsia="en-GB"/>
        </w:rPr>
        <w:t>2+</w:t>
      </w:r>
      <w:r w:rsidRPr="002917E0">
        <w:rPr>
          <w:lang w:eastAsia="en-GB"/>
        </w:rPr>
        <w:t>.</w:t>
      </w:r>
    </w:p>
    <w:p w14:paraId="2159EE66" w14:textId="77777777" w:rsidR="002917E0" w:rsidRPr="002917E0" w:rsidRDefault="002917E0" w:rsidP="002917E0">
      <w:pPr>
        <w:pStyle w:val="RSCBasictext"/>
        <w:rPr>
          <w:lang w:eastAsia="en-GB"/>
        </w:rPr>
      </w:pPr>
      <w:r w:rsidRPr="002917E0">
        <w:rPr>
          <w:lang w:eastAsia="en-GB"/>
        </w:rPr>
        <w:t>The electrode potential for the reduction of Fe</w:t>
      </w:r>
      <w:r w:rsidRPr="002917E0">
        <w:rPr>
          <w:vertAlign w:val="superscript"/>
          <w:lang w:eastAsia="en-GB"/>
        </w:rPr>
        <w:t>3+</w:t>
      </w:r>
      <w:r w:rsidRPr="002917E0">
        <w:rPr>
          <w:lang w:eastAsia="en-GB"/>
        </w:rPr>
        <w:t>(</w:t>
      </w:r>
      <w:proofErr w:type="spellStart"/>
      <w:r w:rsidRPr="002917E0">
        <w:rPr>
          <w:lang w:eastAsia="en-GB"/>
        </w:rPr>
        <w:t>aq</w:t>
      </w:r>
      <w:proofErr w:type="spellEnd"/>
      <w:r w:rsidRPr="002917E0">
        <w:rPr>
          <w:lang w:eastAsia="en-GB"/>
        </w:rPr>
        <w:t>) is: </w:t>
      </w:r>
    </w:p>
    <w:p w14:paraId="121B8198" w14:textId="77777777" w:rsidR="002917E0" w:rsidRPr="002917E0" w:rsidRDefault="002917E0" w:rsidP="002917E0">
      <w:pPr>
        <w:pStyle w:val="RSCBasictext"/>
        <w:jc w:val="center"/>
        <w:rPr>
          <w:lang w:eastAsia="en-GB"/>
        </w:rPr>
      </w:pPr>
      <w:r w:rsidRPr="002917E0">
        <w:rPr>
          <w:b/>
          <w:bCs/>
          <w:lang w:eastAsia="en-GB"/>
        </w:rPr>
        <w:t>Fe</w:t>
      </w:r>
      <w:r w:rsidRPr="002917E0">
        <w:rPr>
          <w:b/>
          <w:bCs/>
          <w:vertAlign w:val="superscript"/>
          <w:lang w:eastAsia="en-GB"/>
        </w:rPr>
        <w:t>3+</w:t>
      </w:r>
      <w:r w:rsidRPr="002917E0">
        <w:rPr>
          <w:b/>
          <w:bCs/>
          <w:lang w:eastAsia="en-GB"/>
        </w:rPr>
        <w:t>(</w:t>
      </w:r>
      <w:proofErr w:type="spellStart"/>
      <w:r w:rsidRPr="002917E0">
        <w:rPr>
          <w:b/>
          <w:bCs/>
          <w:lang w:eastAsia="en-GB"/>
        </w:rPr>
        <w:t>aq</w:t>
      </w:r>
      <w:proofErr w:type="spellEnd"/>
      <w:r w:rsidRPr="002917E0">
        <w:rPr>
          <w:b/>
          <w:bCs/>
          <w:lang w:eastAsia="en-GB"/>
        </w:rPr>
        <w:t>) + e</w:t>
      </w:r>
      <w:r w:rsidRPr="002917E0">
        <w:rPr>
          <w:b/>
          <w:bCs/>
          <w:vertAlign w:val="superscript"/>
          <w:lang w:eastAsia="en-GB"/>
        </w:rPr>
        <w:t>-</w:t>
      </w:r>
      <w:r w:rsidRPr="002917E0">
        <w:rPr>
          <w:b/>
          <w:bCs/>
          <w:lang w:eastAsia="en-GB"/>
        </w:rPr>
        <w:t> </w:t>
      </w:r>
      <w:r w:rsidRPr="002917E0">
        <w:rPr>
          <w:rFonts w:ascii="Cambria Math" w:hAnsi="Cambria Math" w:cs="Cambria Math"/>
          <w:b/>
          <w:bCs/>
          <w:lang w:eastAsia="en-GB"/>
        </w:rPr>
        <w:t>⇌</w:t>
      </w:r>
      <w:r w:rsidRPr="002917E0">
        <w:rPr>
          <w:b/>
          <w:bCs/>
          <w:lang w:eastAsia="en-GB"/>
        </w:rPr>
        <w:t xml:space="preserve"> Fe</w:t>
      </w:r>
      <w:r w:rsidRPr="002917E0">
        <w:rPr>
          <w:b/>
          <w:bCs/>
          <w:vertAlign w:val="superscript"/>
          <w:lang w:eastAsia="en-GB"/>
        </w:rPr>
        <w:t>2+</w:t>
      </w:r>
      <w:r w:rsidRPr="002917E0">
        <w:rPr>
          <w:b/>
          <w:bCs/>
          <w:lang w:eastAsia="en-GB"/>
        </w:rPr>
        <w:t>(</w:t>
      </w:r>
      <w:proofErr w:type="spellStart"/>
      <w:r w:rsidRPr="002917E0">
        <w:rPr>
          <w:b/>
          <w:bCs/>
          <w:lang w:eastAsia="en-GB"/>
        </w:rPr>
        <w:t>aq</w:t>
      </w:r>
      <w:proofErr w:type="spellEnd"/>
      <w:r w:rsidRPr="002917E0">
        <w:rPr>
          <w:b/>
          <w:bCs/>
          <w:lang w:eastAsia="en-GB"/>
        </w:rPr>
        <w:t>) </w:t>
      </w:r>
      <w:r w:rsidRPr="002917E0">
        <w:rPr>
          <w:b/>
          <w:bCs/>
          <w:i/>
          <w:iCs/>
          <w:lang w:eastAsia="en-GB"/>
        </w:rPr>
        <w:t>E</w:t>
      </w:r>
      <w:r w:rsidRPr="002917E0">
        <w:rPr>
          <w:b/>
          <w:bCs/>
          <w:lang w:eastAsia="en-GB"/>
        </w:rPr>
        <w:t> = +0.77 V</w:t>
      </w:r>
    </w:p>
    <w:p w14:paraId="44476315" w14:textId="77777777" w:rsidR="002917E0" w:rsidRPr="002917E0" w:rsidRDefault="002917E0" w:rsidP="002917E0">
      <w:pPr>
        <w:pStyle w:val="RSCBasictext"/>
        <w:rPr>
          <w:lang w:eastAsia="en-GB"/>
        </w:rPr>
      </w:pPr>
      <w:r w:rsidRPr="002917E0">
        <w:rPr>
          <w:lang w:eastAsia="en-GB"/>
        </w:rPr>
        <w:t>At pH 0, the electrode potential for the reduction of MB</w:t>
      </w:r>
      <w:r w:rsidRPr="002917E0">
        <w:rPr>
          <w:vertAlign w:val="superscript"/>
          <w:lang w:eastAsia="en-GB"/>
        </w:rPr>
        <w:t>+</w:t>
      </w:r>
      <w:r w:rsidRPr="002917E0">
        <w:rPr>
          <w:lang w:eastAsia="en-GB"/>
        </w:rPr>
        <w:t> is:</w:t>
      </w:r>
    </w:p>
    <w:p w14:paraId="01B105AF" w14:textId="77777777" w:rsidR="002917E0" w:rsidRPr="002917E0" w:rsidRDefault="002917E0" w:rsidP="002917E0">
      <w:pPr>
        <w:pStyle w:val="RSCBasictext"/>
        <w:jc w:val="center"/>
        <w:rPr>
          <w:lang w:eastAsia="en-GB"/>
        </w:rPr>
      </w:pPr>
      <w:r w:rsidRPr="002917E0">
        <w:rPr>
          <w:b/>
          <w:bCs/>
          <w:lang w:eastAsia="en-GB"/>
        </w:rPr>
        <w:t>MB</w:t>
      </w:r>
      <w:r w:rsidRPr="004A738C">
        <w:rPr>
          <w:b/>
          <w:bCs/>
          <w:vertAlign w:val="superscript"/>
          <w:lang w:eastAsia="en-GB"/>
        </w:rPr>
        <w:t>+</w:t>
      </w:r>
      <w:r w:rsidRPr="002917E0">
        <w:rPr>
          <w:b/>
          <w:bCs/>
          <w:lang w:eastAsia="en-GB"/>
        </w:rPr>
        <w:t>(</w:t>
      </w:r>
      <w:proofErr w:type="spellStart"/>
      <w:r w:rsidRPr="002917E0">
        <w:rPr>
          <w:b/>
          <w:bCs/>
          <w:lang w:eastAsia="en-GB"/>
        </w:rPr>
        <w:t>aq</w:t>
      </w:r>
      <w:proofErr w:type="spellEnd"/>
      <w:r w:rsidRPr="002917E0">
        <w:rPr>
          <w:b/>
          <w:bCs/>
          <w:lang w:eastAsia="en-GB"/>
        </w:rPr>
        <w:t>) + 2e</w:t>
      </w:r>
      <w:r w:rsidRPr="002917E0">
        <w:rPr>
          <w:b/>
          <w:bCs/>
          <w:vertAlign w:val="superscript"/>
          <w:lang w:eastAsia="en-GB"/>
        </w:rPr>
        <w:t>-</w:t>
      </w:r>
      <w:r w:rsidRPr="002917E0">
        <w:rPr>
          <w:b/>
          <w:bCs/>
          <w:lang w:eastAsia="en-GB"/>
        </w:rPr>
        <w:t> + 3H</w:t>
      </w:r>
      <w:r w:rsidRPr="002917E0">
        <w:rPr>
          <w:b/>
          <w:bCs/>
          <w:vertAlign w:val="superscript"/>
          <w:lang w:eastAsia="en-GB"/>
        </w:rPr>
        <w:t>+</w:t>
      </w:r>
      <w:r w:rsidRPr="002917E0">
        <w:rPr>
          <w:b/>
          <w:bCs/>
          <w:lang w:eastAsia="en-GB"/>
        </w:rPr>
        <w:t> </w:t>
      </w:r>
      <w:r w:rsidRPr="002917E0">
        <w:rPr>
          <w:rFonts w:ascii="Cambria Math" w:hAnsi="Cambria Math" w:cs="Cambria Math"/>
          <w:b/>
          <w:bCs/>
          <w:lang w:eastAsia="en-GB"/>
        </w:rPr>
        <w:t>⇌</w:t>
      </w:r>
      <w:r w:rsidRPr="002917E0">
        <w:rPr>
          <w:b/>
          <w:bCs/>
          <w:lang w:eastAsia="en-GB"/>
        </w:rPr>
        <w:t xml:space="preserve"> LMBH</w:t>
      </w:r>
      <w:r w:rsidRPr="002917E0">
        <w:rPr>
          <w:b/>
          <w:bCs/>
          <w:vertAlign w:val="subscript"/>
          <w:lang w:eastAsia="en-GB"/>
        </w:rPr>
        <w:t>3</w:t>
      </w:r>
      <w:r w:rsidRPr="002917E0">
        <w:rPr>
          <w:b/>
          <w:bCs/>
          <w:vertAlign w:val="superscript"/>
          <w:lang w:eastAsia="en-GB"/>
        </w:rPr>
        <w:t>2+</w:t>
      </w:r>
      <w:r w:rsidRPr="002917E0">
        <w:rPr>
          <w:b/>
          <w:bCs/>
          <w:lang w:eastAsia="en-GB"/>
        </w:rPr>
        <w:t> </w:t>
      </w:r>
      <w:r w:rsidRPr="002917E0">
        <w:rPr>
          <w:b/>
          <w:bCs/>
          <w:i/>
          <w:iCs/>
          <w:lang w:eastAsia="en-GB"/>
        </w:rPr>
        <w:t>E</w:t>
      </w:r>
      <w:r w:rsidRPr="002917E0">
        <w:rPr>
          <w:b/>
          <w:bCs/>
          <w:lang w:eastAsia="en-GB"/>
        </w:rPr>
        <w:t> = +0.53 V</w:t>
      </w:r>
    </w:p>
    <w:p w14:paraId="7F33B102" w14:textId="77777777" w:rsidR="002917E0" w:rsidRPr="002917E0" w:rsidRDefault="002917E0" w:rsidP="002917E0">
      <w:pPr>
        <w:pStyle w:val="RSCBasictext"/>
        <w:rPr>
          <w:lang w:eastAsia="en-GB"/>
        </w:rPr>
      </w:pPr>
      <w:r w:rsidRPr="002917E0">
        <w:rPr>
          <w:lang w:eastAsia="en-GB"/>
        </w:rPr>
        <w:t>By combining the half equations, we get:</w:t>
      </w:r>
    </w:p>
    <w:p w14:paraId="7D1AA0E5" w14:textId="77777777" w:rsidR="002917E0" w:rsidRDefault="002917E0" w:rsidP="002917E0">
      <w:pPr>
        <w:pStyle w:val="RSCBasictext"/>
        <w:jc w:val="center"/>
        <w:rPr>
          <w:b/>
          <w:bCs/>
          <w:lang w:eastAsia="en-GB"/>
        </w:rPr>
      </w:pPr>
      <w:r w:rsidRPr="002917E0">
        <w:rPr>
          <w:b/>
          <w:bCs/>
          <w:lang w:eastAsia="en-GB"/>
        </w:rPr>
        <w:t>∆</w:t>
      </w:r>
      <w:r w:rsidRPr="002917E0">
        <w:rPr>
          <w:b/>
          <w:bCs/>
          <w:i/>
          <w:iCs/>
          <w:lang w:eastAsia="en-GB"/>
        </w:rPr>
        <w:t>E </w:t>
      </w:r>
      <w:r w:rsidRPr="002917E0">
        <w:rPr>
          <w:b/>
          <w:bCs/>
          <w:lang w:eastAsia="en-GB"/>
        </w:rPr>
        <w:t>= </w:t>
      </w:r>
      <w:proofErr w:type="spellStart"/>
      <w:r w:rsidRPr="002917E0">
        <w:rPr>
          <w:b/>
          <w:bCs/>
          <w:i/>
          <w:iCs/>
          <w:lang w:eastAsia="en-GB"/>
        </w:rPr>
        <w:t>E</w:t>
      </w:r>
      <w:r w:rsidRPr="002917E0">
        <w:rPr>
          <w:b/>
          <w:bCs/>
          <w:i/>
          <w:iCs/>
          <w:vertAlign w:val="subscript"/>
          <w:lang w:eastAsia="en-GB"/>
        </w:rPr>
        <w:t>reduction</w:t>
      </w:r>
      <w:proofErr w:type="spellEnd"/>
      <w:r w:rsidRPr="002917E0">
        <w:rPr>
          <w:b/>
          <w:bCs/>
          <w:i/>
          <w:iCs/>
          <w:lang w:eastAsia="en-GB"/>
        </w:rPr>
        <w:t> </w:t>
      </w:r>
      <w:r w:rsidRPr="002917E0">
        <w:rPr>
          <w:b/>
          <w:bCs/>
          <w:lang w:eastAsia="en-GB"/>
        </w:rPr>
        <w:t>–</w:t>
      </w:r>
      <w:r w:rsidRPr="002917E0">
        <w:rPr>
          <w:b/>
          <w:bCs/>
          <w:i/>
          <w:iCs/>
          <w:lang w:eastAsia="en-GB"/>
        </w:rPr>
        <w:t> E </w:t>
      </w:r>
      <w:r w:rsidRPr="002917E0">
        <w:rPr>
          <w:b/>
          <w:bCs/>
          <w:i/>
          <w:iCs/>
          <w:vertAlign w:val="subscript"/>
          <w:lang w:eastAsia="en-GB"/>
        </w:rPr>
        <w:t>oxidation</w:t>
      </w:r>
      <w:r w:rsidRPr="002917E0">
        <w:rPr>
          <w:b/>
          <w:bCs/>
          <w:vertAlign w:val="subscript"/>
          <w:lang w:eastAsia="en-GB"/>
        </w:rPr>
        <w:t> </w:t>
      </w:r>
      <w:r w:rsidRPr="002917E0">
        <w:rPr>
          <w:b/>
          <w:bCs/>
          <w:lang w:eastAsia="en-GB"/>
        </w:rPr>
        <w:t>= +0.53 V – (+0.77 V) = –0.24 V</w:t>
      </w:r>
    </w:p>
    <w:p w14:paraId="5527ABE7" w14:textId="77777777" w:rsidR="002917E0" w:rsidRPr="002917E0" w:rsidRDefault="002917E0" w:rsidP="002917E0">
      <w:pPr>
        <w:pStyle w:val="RSCBasictext"/>
        <w:rPr>
          <w:lang w:eastAsia="en-GB"/>
        </w:rPr>
      </w:pPr>
      <w:r w:rsidRPr="002917E0">
        <w:rPr>
          <w:lang w:eastAsia="en-GB"/>
        </w:rPr>
        <w:t>The pH of the demonstration is around 2.5 rather than 0, meaning the MB</w:t>
      </w:r>
      <w:r w:rsidRPr="002917E0">
        <w:rPr>
          <w:vertAlign w:val="superscript"/>
          <w:lang w:eastAsia="en-GB"/>
        </w:rPr>
        <w:t>+</w:t>
      </w:r>
      <w:r w:rsidRPr="002917E0">
        <w:rPr>
          <w:lang w:eastAsia="en-GB"/>
        </w:rPr>
        <w:t> reduction potential is even less favourable. The Nernst equation shows that the potential at this pH ought to be closer to +0.3 V than +0.53 V.</w:t>
      </w:r>
    </w:p>
    <w:p w14:paraId="6DFA9914" w14:textId="77777777" w:rsidR="002917E0" w:rsidRPr="002917E0" w:rsidRDefault="002917E0" w:rsidP="002917E0">
      <w:pPr>
        <w:pStyle w:val="RSCBasictext"/>
        <w:rPr>
          <w:lang w:eastAsia="en-GB"/>
        </w:rPr>
      </w:pPr>
      <w:r w:rsidRPr="002917E0">
        <w:rPr>
          <w:lang w:eastAsia="en-GB"/>
        </w:rPr>
        <w:t>Either way, the ∆</w:t>
      </w:r>
      <w:r w:rsidRPr="002917E0">
        <w:rPr>
          <w:i/>
          <w:iCs/>
          <w:lang w:eastAsia="en-GB"/>
        </w:rPr>
        <w:t>E</w:t>
      </w:r>
      <w:r w:rsidRPr="002917E0">
        <w:rPr>
          <w:lang w:eastAsia="en-GB"/>
        </w:rPr>
        <w:t> is negative and the dye will not spontaneously decolourise without energy being supplied to the system. In this demonstration, the energy required to nudge the dye towards spontaneity comes from light.</w:t>
      </w:r>
    </w:p>
    <w:p w14:paraId="41CF7E24" w14:textId="464BEDB1" w:rsidR="002917E0" w:rsidRPr="002917E0" w:rsidRDefault="002917E0" w:rsidP="002917E0">
      <w:pPr>
        <w:pStyle w:val="RSCBasictext"/>
        <w:rPr>
          <w:lang w:eastAsia="en-GB"/>
        </w:rPr>
      </w:pPr>
      <w:r w:rsidRPr="002917E0">
        <w:rPr>
          <w:lang w:eastAsia="en-GB"/>
        </w:rPr>
        <w:t>Methylene blue absorbs efficiently in the red end of the spectrum thanks to the delocalised π system extending over all three rings</w:t>
      </w:r>
      <w:r w:rsidR="00516E9D">
        <w:rPr>
          <w:lang w:eastAsia="en-GB"/>
        </w:rPr>
        <w:t>,</w:t>
      </w:r>
      <w:r w:rsidRPr="002917E0">
        <w:rPr>
          <w:lang w:eastAsia="en-GB"/>
        </w:rPr>
        <w:t xml:space="preserve"> with</w:t>
      </w:r>
      <w:r w:rsidR="00516E9D">
        <w:rPr>
          <w:lang w:eastAsia="en-GB"/>
        </w:rPr>
        <w:t xml:space="preserve"> a</w:t>
      </w:r>
      <w:r w:rsidRPr="002917E0">
        <w:rPr>
          <w:lang w:eastAsia="en-GB"/>
        </w:rPr>
        <w:t xml:space="preserve"> </w:t>
      </w:r>
      <w:proofErr w:type="spellStart"/>
      <w:r w:rsidRPr="002917E0">
        <w:rPr>
          <w:lang w:eastAsia="en-GB"/>
        </w:rPr>
        <w:t>λ</w:t>
      </w:r>
      <w:r w:rsidRPr="002917E0">
        <w:rPr>
          <w:vertAlign w:val="subscript"/>
          <w:lang w:eastAsia="en-GB"/>
        </w:rPr>
        <w:t>max</w:t>
      </w:r>
      <w:proofErr w:type="spellEnd"/>
      <w:r w:rsidRPr="002917E0">
        <w:rPr>
          <w:lang w:eastAsia="en-GB"/>
        </w:rPr>
        <w:t> of 664 nm.</w:t>
      </w:r>
    </w:p>
    <w:p w14:paraId="5026F7E1" w14:textId="1B014AAB" w:rsidR="002917E0" w:rsidRPr="002917E0" w:rsidRDefault="002917E0" w:rsidP="002917E0">
      <w:pPr>
        <w:pStyle w:val="RSCBasictext"/>
        <w:rPr>
          <w:lang w:eastAsia="en-GB"/>
        </w:rPr>
      </w:pPr>
      <w:r w:rsidRPr="002917E0">
        <w:rPr>
          <w:lang w:eastAsia="en-GB"/>
        </w:rPr>
        <w:lastRenderedPageBreak/>
        <w:t>When MB</w:t>
      </w:r>
      <w:r w:rsidRPr="002917E0">
        <w:rPr>
          <w:vertAlign w:val="superscript"/>
          <w:lang w:eastAsia="en-GB"/>
        </w:rPr>
        <w:t>+</w:t>
      </w:r>
      <w:r w:rsidRPr="002917E0">
        <w:rPr>
          <w:lang w:eastAsia="en-GB"/>
        </w:rPr>
        <w:t> absorbs a photon, a short-lived, highly energetic excited state forms and its full two</w:t>
      </w:r>
      <w:r w:rsidR="00B55956">
        <w:rPr>
          <w:lang w:eastAsia="en-GB"/>
        </w:rPr>
        <w:t>-</w:t>
      </w:r>
      <w:r w:rsidRPr="002917E0">
        <w:rPr>
          <w:lang w:eastAsia="en-GB"/>
        </w:rPr>
        <w:t>electron reduction potential increases to +1.43 V. Now the ∆</w:t>
      </w:r>
      <w:r w:rsidRPr="002917E0">
        <w:rPr>
          <w:i/>
          <w:iCs/>
          <w:lang w:eastAsia="en-GB"/>
        </w:rPr>
        <w:t>E</w:t>
      </w:r>
      <w:r w:rsidRPr="002917E0">
        <w:rPr>
          <w:lang w:eastAsia="en-GB"/>
        </w:rPr>
        <w:t> is large and positive – the solution bleaches. You can demonstrate the importance of light at the red end of the spectrum with the use of coloured filters. Red or yellow filters allow the correct wavelengths through and the dye will bleach, while blue filters will prevent the reaction from occurring.</w:t>
      </w:r>
    </w:p>
    <w:p w14:paraId="0CF31223" w14:textId="79B8B75A" w:rsidR="002917E0" w:rsidRDefault="002917E0" w:rsidP="00145BB7">
      <w:pPr>
        <w:pStyle w:val="RSCBasictext"/>
        <w:rPr>
          <w:lang w:eastAsia="en-GB"/>
        </w:rPr>
      </w:pPr>
      <w:r w:rsidRPr="002917E0">
        <w:rPr>
          <w:lang w:eastAsia="en-GB"/>
        </w:rPr>
        <w:t>Once light is removed, the backward reaction wins out and the Fe</w:t>
      </w:r>
      <w:r w:rsidRPr="002917E0">
        <w:rPr>
          <w:vertAlign w:val="superscript"/>
          <w:lang w:eastAsia="en-GB"/>
        </w:rPr>
        <w:t>3+</w:t>
      </w:r>
      <w:r w:rsidRPr="002917E0">
        <w:rPr>
          <w:lang w:eastAsia="en-GB"/>
        </w:rPr>
        <w:t xml:space="preserve"> oxidises the </w:t>
      </w:r>
      <w:proofErr w:type="spellStart"/>
      <w:r w:rsidRPr="002917E0">
        <w:rPr>
          <w:lang w:eastAsia="en-GB"/>
        </w:rPr>
        <w:t>leucomethylene</w:t>
      </w:r>
      <w:proofErr w:type="spellEnd"/>
      <w:r w:rsidRPr="002917E0">
        <w:rPr>
          <w:lang w:eastAsia="en-GB"/>
        </w:rPr>
        <w:t xml:space="preserve"> blue back to its coloured form again. This happens </w:t>
      </w:r>
      <w:r w:rsidR="005042B8">
        <w:rPr>
          <w:lang w:eastAsia="en-GB"/>
        </w:rPr>
        <w:t>more slowly</w:t>
      </w:r>
      <w:r w:rsidRPr="002917E0">
        <w:rPr>
          <w:lang w:eastAsia="en-GB"/>
        </w:rPr>
        <w:t xml:space="preserve"> than in the original demonstration that uses thionine, </w:t>
      </w:r>
      <w:r w:rsidR="005042B8" w:rsidRPr="005042B8">
        <w:rPr>
          <w:lang w:eastAsia="en-GB"/>
        </w:rPr>
        <w:t>making the effect easier to observe.</w:t>
      </w:r>
    </w:p>
    <w:p w14:paraId="7F3EC2A4" w14:textId="7EF08116" w:rsidR="00D00AB5" w:rsidRDefault="00D00AB5" w:rsidP="00F74583">
      <w:pPr>
        <w:spacing w:after="160" w:line="259" w:lineRule="auto"/>
        <w:jc w:val="left"/>
        <w:outlineLvl w:val="9"/>
        <w:rPr>
          <w:rFonts w:ascii="Century Gothic" w:hAnsi="Century Gothic"/>
          <w:b/>
          <w:bCs/>
          <w:color w:val="004976"/>
          <w:sz w:val="28"/>
          <w:szCs w:val="22"/>
        </w:rPr>
      </w:pPr>
    </w:p>
    <w:p w14:paraId="1D06F639" w14:textId="77777777" w:rsidR="00D96BF4" w:rsidRPr="00F74583" w:rsidRDefault="00D96BF4" w:rsidP="00F74583">
      <w:pPr>
        <w:spacing w:after="160" w:line="259" w:lineRule="auto"/>
        <w:jc w:val="left"/>
        <w:outlineLvl w:val="9"/>
        <w:rPr>
          <w:rFonts w:ascii="Century Gothic" w:hAnsi="Century Gothic"/>
          <w:b/>
          <w:bCs/>
          <w:color w:val="004976"/>
          <w:sz w:val="28"/>
          <w:szCs w:val="22"/>
        </w:rPr>
      </w:pPr>
    </w:p>
    <w:sectPr w:rsidR="00D96BF4" w:rsidRPr="00F74583" w:rsidSect="00231C1C">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C6A1E" w14:textId="77777777" w:rsidR="000901F7" w:rsidRDefault="000901F7" w:rsidP="008A1B0B">
      <w:pPr>
        <w:spacing w:after="0" w:line="240" w:lineRule="auto"/>
      </w:pPr>
      <w:r>
        <w:separator/>
      </w:r>
    </w:p>
  </w:endnote>
  <w:endnote w:type="continuationSeparator" w:id="0">
    <w:p w14:paraId="7C7A10D7" w14:textId="77777777" w:rsidR="000901F7" w:rsidRDefault="000901F7"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32A6247" w:rsidR="00231C1C" w:rsidRPr="00B226A7" w:rsidRDefault="00B226A7" w:rsidP="002F2A90">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2917E0">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w:t>
    </w:r>
    <w:r w:rsidR="00362CD9">
      <w:rPr>
        <w:rFonts w:ascii="Century Gothic" w:hAnsi="Century Gothic"/>
        <w:sz w:val="16"/>
        <w:szCs w:val="16"/>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0AB9" w14:textId="77777777" w:rsidR="000901F7" w:rsidRDefault="000901F7" w:rsidP="008A1B0B">
      <w:pPr>
        <w:spacing w:after="0" w:line="240" w:lineRule="auto"/>
      </w:pPr>
      <w:r>
        <w:separator/>
      </w:r>
    </w:p>
  </w:footnote>
  <w:footnote w:type="continuationSeparator" w:id="0">
    <w:p w14:paraId="08771937" w14:textId="77777777" w:rsidR="000901F7" w:rsidRDefault="000901F7"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46EAABC" w:rsidR="008A1B0B" w:rsidRDefault="00104CB2" w:rsidP="008D7A53">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2" behindDoc="0" locked="0" layoutInCell="1" allowOverlap="1" wp14:anchorId="03C1906C" wp14:editId="4BC43DF0">
          <wp:simplePos x="0" y="0"/>
          <wp:positionH relativeFrom="column">
            <wp:posOffset>-542925</wp:posOffset>
          </wp:positionH>
          <wp:positionV relativeFrom="paragraph">
            <wp:posOffset>40640</wp:posOffset>
          </wp:positionV>
          <wp:extent cx="2160905" cy="36258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0905" cy="362585"/>
                  </a:xfrm>
                  <a:prstGeom prst="rect">
                    <a:avLst/>
                  </a:prstGeom>
                </pic:spPr>
              </pic:pic>
            </a:graphicData>
          </a:graphic>
        </wp:anchor>
      </w:drawing>
    </w:r>
    <w:r w:rsidR="008D7A53" w:rsidRPr="00DF7826">
      <w:rPr>
        <w:rFonts w:ascii="Century Gothic" w:hAnsi="Century Gothic"/>
        <w:b/>
        <w:bCs/>
        <w:noProof/>
        <w:color w:val="991E66"/>
        <w:sz w:val="30"/>
        <w:szCs w:val="30"/>
      </w:rPr>
      <w:drawing>
        <wp:anchor distT="0" distB="0" distL="114300" distR="114300" simplePos="0" relativeHeight="251658241" behindDoc="0" locked="0" layoutInCell="1" allowOverlap="1" wp14:anchorId="6E755D66" wp14:editId="1B89F19B">
          <wp:simplePos x="0" y="0"/>
          <wp:positionH relativeFrom="column">
            <wp:posOffset>-540385</wp:posOffset>
          </wp:positionH>
          <wp:positionV relativeFrom="paragraph">
            <wp:posOffset>36195</wp:posOffset>
          </wp:positionV>
          <wp:extent cx="1789200" cy="356400"/>
          <wp:effectExtent l="0" t="0" r="1905"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FF76A3" w:rsidRPr="00DF7826">
      <w:rPr>
        <w:rFonts w:ascii="Century Gothic" w:hAnsi="Century Gothic"/>
        <w:b/>
        <w:bCs/>
        <w:noProof/>
        <w:color w:val="991E66"/>
        <w:sz w:val="30"/>
        <w:szCs w:val="30"/>
      </w:rPr>
      <w:drawing>
        <wp:anchor distT="0" distB="0" distL="114300" distR="114300" simplePos="0" relativeHeight="251658240" behindDoc="1" locked="0" layoutInCell="1" allowOverlap="1" wp14:anchorId="119FB73F" wp14:editId="2536E388">
          <wp:simplePos x="0" y="0"/>
          <wp:positionH relativeFrom="column">
            <wp:posOffset>-927101</wp:posOffset>
          </wp:positionH>
          <wp:positionV relativeFrom="paragraph">
            <wp:posOffset>-267335</wp:posOffset>
          </wp:positionV>
          <wp:extent cx="7569919" cy="107124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580222" cy="10727030"/>
                  </a:xfrm>
                  <a:prstGeom prst="rect">
                    <a:avLst/>
                  </a:prstGeom>
                </pic:spPr>
              </pic:pic>
            </a:graphicData>
          </a:graphic>
          <wp14:sizeRelH relativeFrom="page">
            <wp14:pctWidth>0</wp14:pctWidth>
          </wp14:sizeRelH>
          <wp14:sizeRelV relativeFrom="page">
            <wp14:pctHeight>0</wp14:pctHeight>
          </wp14:sizeRelV>
        </wp:anchor>
      </w:drawing>
    </w:r>
    <w:r w:rsidR="00071B48">
      <w:rPr>
        <w:rFonts w:ascii="Century Gothic" w:hAnsi="Century Gothic"/>
        <w:b/>
        <w:bCs/>
        <w:color w:val="991E66"/>
        <w:sz w:val="30"/>
        <w:szCs w:val="30"/>
      </w:rPr>
      <w:t xml:space="preserve">Exhibition </w:t>
    </w:r>
    <w:r w:rsidR="00071B48" w:rsidRPr="00B63F7E">
      <w:rPr>
        <w:rFonts w:ascii="Century Gothic" w:hAnsi="Century Gothic"/>
        <w:b/>
        <w:bCs/>
        <w:color w:val="991E66"/>
        <w:sz w:val="30"/>
        <w:szCs w:val="30"/>
      </w:rPr>
      <w:t>chemistry</w:t>
    </w:r>
    <w:r w:rsidR="00557BF2" w:rsidRPr="00DF7826">
      <w:rPr>
        <w:rFonts w:ascii="Century Gothic" w:hAnsi="Century Gothic"/>
        <w:b/>
        <w:bCs/>
        <w:color w:val="FF0000"/>
        <w:sz w:val="24"/>
        <w:szCs w:val="24"/>
      </w:rPr>
      <w:t xml:space="preserve"> </w:t>
    </w:r>
  </w:p>
  <w:p w14:paraId="014B122C" w14:textId="59EC9BDA" w:rsidR="00557BF2" w:rsidRPr="00557BF2" w:rsidRDefault="00DC0D9C" w:rsidP="00FF76A3">
    <w:pPr>
      <w:spacing w:after="86"/>
      <w:ind w:right="-850"/>
      <w:jc w:val="right"/>
      <w:rPr>
        <w:rFonts w:ascii="Century Gothic" w:hAnsi="Century Gothic"/>
        <w:b/>
        <w:bCs/>
        <w:color w:val="004976"/>
        <w:sz w:val="18"/>
        <w:szCs w:val="18"/>
      </w:rPr>
    </w:pPr>
    <w:r>
      <w:rPr>
        <w:rFonts w:ascii="Century Gothic" w:hAnsi="Century Gothic"/>
        <w:b/>
        <w:bCs/>
        <w:color w:val="000000" w:themeColor="text1"/>
        <w:sz w:val="18"/>
        <w:szCs w:val="18"/>
      </w:rPr>
      <w:t>Available</w:t>
    </w:r>
    <w:r w:rsidR="008B34F9">
      <w:rPr>
        <w:rFonts w:ascii="Century Gothic" w:hAnsi="Century Gothic"/>
        <w:b/>
        <w:bCs/>
        <w:color w:val="000000" w:themeColor="text1"/>
        <w:sz w:val="18"/>
        <w:szCs w:val="18"/>
      </w:rPr>
      <w:t xml:space="preserve"> from</w:t>
    </w:r>
    <w:r w:rsidR="00557BF2" w:rsidRPr="00A56431">
      <w:rPr>
        <w:rFonts w:ascii="Century Gothic" w:hAnsi="Century Gothic"/>
        <w:b/>
        <w:bCs/>
        <w:color w:val="000000" w:themeColor="text1"/>
        <w:sz w:val="18"/>
        <w:szCs w:val="18"/>
      </w:rPr>
      <w:t xml:space="preserve"> </w:t>
    </w:r>
    <w:r w:rsidR="00FB29A1" w:rsidRPr="00FB29A1">
      <w:rPr>
        <w:rFonts w:ascii="Century Gothic" w:hAnsi="Century Gothic"/>
        <w:b/>
        <w:bCs/>
        <w:color w:val="991E66" w:themeColor="accent1"/>
        <w:sz w:val="18"/>
        <w:szCs w:val="18"/>
      </w:rPr>
      <w:t>rsc.li/4qBduTI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72F4"/>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D71290E"/>
    <w:multiLevelType w:val="hybridMultilevel"/>
    <w:tmpl w:val="97C8649E"/>
    <w:lvl w:ilvl="0" w:tplc="8CC26048">
      <w:start w:val="1"/>
      <w:numFmt w:val="bullet"/>
      <w:pStyle w:val="RSCBulletedlist"/>
      <w:lvlText w:val=""/>
      <w:lvlJc w:val="left"/>
      <w:pPr>
        <w:ind w:left="363" w:hanging="363"/>
      </w:pPr>
      <w:rPr>
        <w:rFonts w:ascii="Symbol" w:hAnsi="Symbol" w:hint="default"/>
        <w:color w:val="991E66" w:themeColor="accent1"/>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B202CA"/>
    <w:multiLevelType w:val="multilevel"/>
    <w:tmpl w:val="4FE4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47A72"/>
    <w:multiLevelType w:val="hybridMultilevel"/>
    <w:tmpl w:val="01881FC8"/>
    <w:lvl w:ilvl="0" w:tplc="B6AC983E">
      <w:start w:val="1"/>
      <w:numFmt w:val="decimal"/>
      <w:pStyle w:val="RSCnumberedlist"/>
      <w:lvlText w:val="%1."/>
      <w:lvlJc w:val="left"/>
      <w:pPr>
        <w:ind w:left="360" w:hanging="360"/>
      </w:pPr>
      <w:rPr>
        <w:rFonts w:ascii="Century Gothic" w:hAnsi="Century Gothic" w:hint="default"/>
        <w:b/>
        <w:i w:val="0"/>
        <w:color w:val="00497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50671E"/>
    <w:multiLevelType w:val="hybridMultilevel"/>
    <w:tmpl w:val="8EF02762"/>
    <w:lvl w:ilvl="0" w:tplc="BEE61F6A">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5" w15:restartNumberingAfterBreak="0">
    <w:nsid w:val="304F146F"/>
    <w:multiLevelType w:val="hybridMultilevel"/>
    <w:tmpl w:val="0A6AD2C4"/>
    <w:lvl w:ilvl="0" w:tplc="44E8C560">
      <w:start w:val="1"/>
      <w:numFmt w:val="decimal"/>
      <w:pStyle w:val="RSCLearningobjectives"/>
      <w:lvlText w:val="%1"/>
      <w:lvlJc w:val="left"/>
      <w:pPr>
        <w:ind w:left="476" w:hanging="476"/>
      </w:pPr>
      <w:rPr>
        <w:rFonts w:ascii="Century Gothic" w:eastAsiaTheme="minorHAnsi" w:hAnsi="Century Gothic" w:cs="Arial"/>
        <w:b/>
        <w:i w:val="0"/>
        <w:color w:val="00497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CD2538"/>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6127D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F55A3C"/>
    <w:multiLevelType w:val="hybridMultilevel"/>
    <w:tmpl w:val="EC92222E"/>
    <w:lvl w:ilvl="0" w:tplc="8CC26048">
      <w:start w:val="1"/>
      <w:numFmt w:val="bullet"/>
      <w:lvlText w:val=""/>
      <w:lvlJc w:val="left"/>
      <w:pPr>
        <w:ind w:left="720" w:hanging="360"/>
      </w:pPr>
      <w:rPr>
        <w:rFonts w:ascii="Symbol" w:hAnsi="Symbol" w:hint="default"/>
        <w:color w:val="991E66"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7D34E4"/>
    <w:multiLevelType w:val="hybridMultilevel"/>
    <w:tmpl w:val="5A40AD10"/>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6F0B44"/>
    <w:multiLevelType w:val="hybridMultilevel"/>
    <w:tmpl w:val="FA6CAFA4"/>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10684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793E90"/>
    <w:multiLevelType w:val="hybridMultilevel"/>
    <w:tmpl w:val="74F43388"/>
    <w:lvl w:ilvl="0" w:tplc="8CC26048">
      <w:start w:val="1"/>
      <w:numFmt w:val="bullet"/>
      <w:lvlText w:val=""/>
      <w:lvlJc w:val="left"/>
      <w:pPr>
        <w:ind w:left="363" w:hanging="363"/>
      </w:pPr>
      <w:rPr>
        <w:rFonts w:ascii="Symbol" w:hAnsi="Symbol" w:hint="default"/>
        <w:color w:val="991E66" w:themeColor="accen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10605598">
    <w:abstractNumId w:val="21"/>
  </w:num>
  <w:num w:numId="2" w16cid:durableId="46608390">
    <w:abstractNumId w:val="11"/>
  </w:num>
  <w:num w:numId="3" w16cid:durableId="767046158">
    <w:abstractNumId w:val="6"/>
  </w:num>
  <w:num w:numId="4" w16cid:durableId="1754862014">
    <w:abstractNumId w:val="9"/>
  </w:num>
  <w:num w:numId="5" w16cid:durableId="522865220">
    <w:abstractNumId w:val="18"/>
  </w:num>
  <w:num w:numId="6" w16cid:durableId="1092093063">
    <w:abstractNumId w:val="20"/>
  </w:num>
  <w:num w:numId="7" w16cid:durableId="1042751722">
    <w:abstractNumId w:val="1"/>
  </w:num>
  <w:num w:numId="8" w16cid:durableId="339281078">
    <w:abstractNumId w:val="5"/>
  </w:num>
  <w:num w:numId="9" w16cid:durableId="166483661">
    <w:abstractNumId w:val="4"/>
  </w:num>
  <w:num w:numId="10" w16cid:durableId="739593575">
    <w:abstractNumId w:val="3"/>
  </w:num>
  <w:num w:numId="11" w16cid:durableId="1035690940">
    <w:abstractNumId w:val="12"/>
  </w:num>
  <w:num w:numId="12" w16cid:durableId="1470199975">
    <w:abstractNumId w:val="3"/>
    <w:lvlOverride w:ilvl="0">
      <w:startOverride w:val="1"/>
    </w:lvlOverride>
  </w:num>
  <w:num w:numId="13" w16cid:durableId="1479612613">
    <w:abstractNumId w:val="17"/>
  </w:num>
  <w:num w:numId="14" w16cid:durableId="1674912029">
    <w:abstractNumId w:val="15"/>
  </w:num>
  <w:num w:numId="15" w16cid:durableId="2099716115">
    <w:abstractNumId w:val="10"/>
  </w:num>
  <w:num w:numId="16" w16cid:durableId="649024404">
    <w:abstractNumId w:val="0"/>
  </w:num>
  <w:num w:numId="17" w16cid:durableId="1550605262">
    <w:abstractNumId w:val="7"/>
  </w:num>
  <w:num w:numId="18" w16cid:durableId="181480924">
    <w:abstractNumId w:val="8"/>
  </w:num>
  <w:num w:numId="19" w16cid:durableId="2003771580">
    <w:abstractNumId w:val="4"/>
    <w:lvlOverride w:ilvl="0">
      <w:startOverride w:val="1"/>
    </w:lvlOverride>
  </w:num>
  <w:num w:numId="20" w16cid:durableId="2139297354">
    <w:abstractNumId w:val="19"/>
  </w:num>
  <w:num w:numId="21" w16cid:durableId="1368411444">
    <w:abstractNumId w:val="1"/>
  </w:num>
  <w:num w:numId="22" w16cid:durableId="1597057039">
    <w:abstractNumId w:val="16"/>
  </w:num>
  <w:num w:numId="23" w16cid:durableId="1359821052">
    <w:abstractNumId w:val="13"/>
  </w:num>
  <w:num w:numId="24" w16cid:durableId="1433546299">
    <w:abstractNumId w:val="22"/>
  </w:num>
  <w:num w:numId="25" w16cid:durableId="987248214">
    <w:abstractNumId w:val="14"/>
  </w:num>
  <w:num w:numId="26" w16cid:durableId="1871141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0624"/>
    <w:rsid w:val="000112BF"/>
    <w:rsid w:val="000209E2"/>
    <w:rsid w:val="00022B65"/>
    <w:rsid w:val="00046615"/>
    <w:rsid w:val="0005730B"/>
    <w:rsid w:val="000657C6"/>
    <w:rsid w:val="00071B48"/>
    <w:rsid w:val="00082470"/>
    <w:rsid w:val="00084981"/>
    <w:rsid w:val="000878DA"/>
    <w:rsid w:val="00087C7B"/>
    <w:rsid w:val="000901F7"/>
    <w:rsid w:val="0009292F"/>
    <w:rsid w:val="000B0210"/>
    <w:rsid w:val="000B0FE6"/>
    <w:rsid w:val="000B3988"/>
    <w:rsid w:val="000C56DB"/>
    <w:rsid w:val="000E6E48"/>
    <w:rsid w:val="00104CB2"/>
    <w:rsid w:val="00145BB7"/>
    <w:rsid w:val="00146FCD"/>
    <w:rsid w:val="00147637"/>
    <w:rsid w:val="00170732"/>
    <w:rsid w:val="00180C62"/>
    <w:rsid w:val="001A278F"/>
    <w:rsid w:val="001D1067"/>
    <w:rsid w:val="001F103F"/>
    <w:rsid w:val="001F708C"/>
    <w:rsid w:val="00210452"/>
    <w:rsid w:val="002304A7"/>
    <w:rsid w:val="00231C1C"/>
    <w:rsid w:val="002549BE"/>
    <w:rsid w:val="00255470"/>
    <w:rsid w:val="00260D45"/>
    <w:rsid w:val="00266B59"/>
    <w:rsid w:val="002917E0"/>
    <w:rsid w:val="002A3C79"/>
    <w:rsid w:val="002B06C9"/>
    <w:rsid w:val="002C2223"/>
    <w:rsid w:val="002D0681"/>
    <w:rsid w:val="002D34BA"/>
    <w:rsid w:val="002E47CA"/>
    <w:rsid w:val="002F2A90"/>
    <w:rsid w:val="002F35A3"/>
    <w:rsid w:val="003059AB"/>
    <w:rsid w:val="003066BC"/>
    <w:rsid w:val="00307510"/>
    <w:rsid w:val="00362CD9"/>
    <w:rsid w:val="003716B9"/>
    <w:rsid w:val="00383A44"/>
    <w:rsid w:val="00385B8C"/>
    <w:rsid w:val="003979ED"/>
    <w:rsid w:val="003B7300"/>
    <w:rsid w:val="003C643A"/>
    <w:rsid w:val="003D6657"/>
    <w:rsid w:val="003E0E59"/>
    <w:rsid w:val="00414DC8"/>
    <w:rsid w:val="00432CE7"/>
    <w:rsid w:val="0044650F"/>
    <w:rsid w:val="00446F05"/>
    <w:rsid w:val="00447C7A"/>
    <w:rsid w:val="0046389A"/>
    <w:rsid w:val="0047157B"/>
    <w:rsid w:val="00485CEA"/>
    <w:rsid w:val="0048754D"/>
    <w:rsid w:val="004A738C"/>
    <w:rsid w:val="005042B8"/>
    <w:rsid w:val="00512B6D"/>
    <w:rsid w:val="00516E9D"/>
    <w:rsid w:val="00516F80"/>
    <w:rsid w:val="0052289F"/>
    <w:rsid w:val="00535FC6"/>
    <w:rsid w:val="00543133"/>
    <w:rsid w:val="0055336A"/>
    <w:rsid w:val="00557BF2"/>
    <w:rsid w:val="00593D59"/>
    <w:rsid w:val="005A5001"/>
    <w:rsid w:val="005B4AFE"/>
    <w:rsid w:val="005F286E"/>
    <w:rsid w:val="005F4A63"/>
    <w:rsid w:val="0061767C"/>
    <w:rsid w:val="00623DCE"/>
    <w:rsid w:val="006820BE"/>
    <w:rsid w:val="00687183"/>
    <w:rsid w:val="00697ED1"/>
    <w:rsid w:val="006D790E"/>
    <w:rsid w:val="006E13FB"/>
    <w:rsid w:val="006E6E0B"/>
    <w:rsid w:val="007042E5"/>
    <w:rsid w:val="00741953"/>
    <w:rsid w:val="00747E9A"/>
    <w:rsid w:val="00747FE6"/>
    <w:rsid w:val="0077600A"/>
    <w:rsid w:val="007A08F5"/>
    <w:rsid w:val="007B56F2"/>
    <w:rsid w:val="007B73D9"/>
    <w:rsid w:val="007D5468"/>
    <w:rsid w:val="007D7F9E"/>
    <w:rsid w:val="007F2BF3"/>
    <w:rsid w:val="00803338"/>
    <w:rsid w:val="00815433"/>
    <w:rsid w:val="0081721A"/>
    <w:rsid w:val="00835B9C"/>
    <w:rsid w:val="00862463"/>
    <w:rsid w:val="0086752D"/>
    <w:rsid w:val="0089187A"/>
    <w:rsid w:val="00892B56"/>
    <w:rsid w:val="00893B8E"/>
    <w:rsid w:val="00893F3D"/>
    <w:rsid w:val="008A1B0B"/>
    <w:rsid w:val="008B34F9"/>
    <w:rsid w:val="008B54F1"/>
    <w:rsid w:val="008D7A53"/>
    <w:rsid w:val="008F30C2"/>
    <w:rsid w:val="00905E09"/>
    <w:rsid w:val="009272D0"/>
    <w:rsid w:val="00942047"/>
    <w:rsid w:val="00986213"/>
    <w:rsid w:val="009A4D3C"/>
    <w:rsid w:val="009A6718"/>
    <w:rsid w:val="009B778D"/>
    <w:rsid w:val="009C580B"/>
    <w:rsid w:val="00A13442"/>
    <w:rsid w:val="00A166AB"/>
    <w:rsid w:val="00A35AD9"/>
    <w:rsid w:val="00A461FE"/>
    <w:rsid w:val="00A5348B"/>
    <w:rsid w:val="00A571EB"/>
    <w:rsid w:val="00A5740C"/>
    <w:rsid w:val="00A614BE"/>
    <w:rsid w:val="00A725C3"/>
    <w:rsid w:val="00AA2485"/>
    <w:rsid w:val="00AC6EF7"/>
    <w:rsid w:val="00AE290A"/>
    <w:rsid w:val="00AF5AAF"/>
    <w:rsid w:val="00B226A7"/>
    <w:rsid w:val="00B30A6E"/>
    <w:rsid w:val="00B32882"/>
    <w:rsid w:val="00B44A62"/>
    <w:rsid w:val="00B55956"/>
    <w:rsid w:val="00B63F7E"/>
    <w:rsid w:val="00B67A03"/>
    <w:rsid w:val="00B71E66"/>
    <w:rsid w:val="00B911BF"/>
    <w:rsid w:val="00BA3729"/>
    <w:rsid w:val="00BB5BB3"/>
    <w:rsid w:val="00C165B2"/>
    <w:rsid w:val="00C1703F"/>
    <w:rsid w:val="00C43346"/>
    <w:rsid w:val="00CC5D65"/>
    <w:rsid w:val="00CD3045"/>
    <w:rsid w:val="00CD3159"/>
    <w:rsid w:val="00CD3907"/>
    <w:rsid w:val="00CD3C25"/>
    <w:rsid w:val="00CD5E3C"/>
    <w:rsid w:val="00CF6E3E"/>
    <w:rsid w:val="00D00AB5"/>
    <w:rsid w:val="00D17CC0"/>
    <w:rsid w:val="00D45D99"/>
    <w:rsid w:val="00D60D30"/>
    <w:rsid w:val="00D96BF4"/>
    <w:rsid w:val="00DC0D9C"/>
    <w:rsid w:val="00DD2A56"/>
    <w:rsid w:val="00DD432E"/>
    <w:rsid w:val="00DE07EA"/>
    <w:rsid w:val="00DE54D4"/>
    <w:rsid w:val="00DF7047"/>
    <w:rsid w:val="00DF7826"/>
    <w:rsid w:val="00E045BB"/>
    <w:rsid w:val="00E779C0"/>
    <w:rsid w:val="00E95DE4"/>
    <w:rsid w:val="00EA6475"/>
    <w:rsid w:val="00EB6FB9"/>
    <w:rsid w:val="00EC7EFF"/>
    <w:rsid w:val="00F04DEF"/>
    <w:rsid w:val="00F3727E"/>
    <w:rsid w:val="00F56A3B"/>
    <w:rsid w:val="00F64F0F"/>
    <w:rsid w:val="00F74583"/>
    <w:rsid w:val="00F80ECB"/>
    <w:rsid w:val="00F82E23"/>
    <w:rsid w:val="00F878D4"/>
    <w:rsid w:val="00F939D5"/>
    <w:rsid w:val="00FB29A1"/>
    <w:rsid w:val="00FC3B24"/>
    <w:rsid w:val="00FF76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5DE8EAFB-2DB6-43EE-A607-8012CE5C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B30A6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0B0210"/>
    <w:pPr>
      <w:tabs>
        <w:tab w:val="left" w:pos="8505"/>
      </w:tabs>
      <w:spacing w:after="240" w:line="259" w:lineRule="auto"/>
      <w:jc w:val="left"/>
    </w:pPr>
    <w:rPr>
      <w:rFonts w:ascii="Century Gothic" w:hAnsi="Century Gothic"/>
      <w:b/>
      <w:bCs/>
      <w:color w:val="004976"/>
      <w:sz w:val="36"/>
      <w:szCs w:val="36"/>
    </w:rPr>
  </w:style>
  <w:style w:type="paragraph" w:customStyle="1" w:styleId="RSCH2">
    <w:name w:val="RSC H2"/>
    <w:basedOn w:val="Normal"/>
    <w:qFormat/>
    <w:rsid w:val="00B30A6E"/>
    <w:pPr>
      <w:tabs>
        <w:tab w:val="left" w:pos="426"/>
      </w:tabs>
      <w:spacing w:before="500" w:after="160" w:line="259" w:lineRule="auto"/>
      <w:jc w:val="left"/>
    </w:pPr>
    <w:rPr>
      <w:rFonts w:ascii="Century Gothic" w:hAnsi="Century Gothic"/>
      <w:b/>
      <w:bCs/>
      <w:color w:val="004976"/>
      <w:sz w:val="28"/>
      <w:szCs w:val="22"/>
    </w:rPr>
  </w:style>
  <w:style w:type="paragraph" w:customStyle="1" w:styleId="RSCH3">
    <w:name w:val="RSC H3"/>
    <w:basedOn w:val="RSCBasictext"/>
    <w:qFormat/>
    <w:rsid w:val="00B30A6E"/>
    <w:pPr>
      <w:spacing w:before="300"/>
    </w:pPr>
    <w:rPr>
      <w:b/>
      <w:bCs/>
      <w:color w:val="004976"/>
    </w:rPr>
  </w:style>
  <w:style w:type="paragraph" w:customStyle="1" w:styleId="RSCLearningobjectives">
    <w:name w:val="RSC Learning objectives"/>
    <w:basedOn w:val="Normal"/>
    <w:qFormat/>
    <w:rsid w:val="00B30A6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A13442"/>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B30A6E"/>
    <w:pPr>
      <w:tabs>
        <w:tab w:val="left" w:pos="8789"/>
      </w:tabs>
      <w:spacing w:after="240" w:line="259" w:lineRule="auto"/>
      <w:jc w:val="right"/>
    </w:pPr>
    <w:rPr>
      <w:rFonts w:ascii="Century Gothic" w:hAnsi="Century Gothic"/>
      <w:b/>
      <w:color w:val="004976"/>
      <w:sz w:val="18"/>
      <w:szCs w:val="22"/>
    </w:rPr>
  </w:style>
  <w:style w:type="paragraph" w:customStyle="1" w:styleId="RSCnumberedlist">
    <w:name w:val="RSC numbered list"/>
    <w:basedOn w:val="Normal"/>
    <w:qFormat/>
    <w:rsid w:val="00B30A6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numbering" w:customStyle="1" w:styleId="CurrentList4">
    <w:name w:val="Current List4"/>
    <w:uiPriority w:val="99"/>
    <w:rsid w:val="00B30A6E"/>
    <w:pPr>
      <w:numPr>
        <w:numId w:val="16"/>
      </w:numPr>
    </w:pPr>
  </w:style>
  <w:style w:type="numbering" w:customStyle="1" w:styleId="CurrentList5">
    <w:name w:val="Current List5"/>
    <w:uiPriority w:val="99"/>
    <w:rsid w:val="00B30A6E"/>
    <w:pPr>
      <w:numPr>
        <w:numId w:val="17"/>
      </w:numPr>
    </w:pPr>
  </w:style>
  <w:style w:type="numbering" w:customStyle="1" w:styleId="CurrentList6">
    <w:name w:val="Current List6"/>
    <w:uiPriority w:val="99"/>
    <w:rsid w:val="00B30A6E"/>
    <w:pPr>
      <w:numPr>
        <w:numId w:val="18"/>
      </w:numPr>
    </w:pPr>
  </w:style>
  <w:style w:type="paragraph" w:customStyle="1" w:styleId="URL">
    <w:name w:val="URL"/>
    <w:basedOn w:val="RSCH3"/>
    <w:qFormat/>
    <w:rsid w:val="005F286E"/>
    <w:pPr>
      <w:spacing w:before="0" w:after="504"/>
    </w:pPr>
  </w:style>
  <w:style w:type="paragraph" w:customStyle="1" w:styleId="RSCURL">
    <w:name w:val="RSC URL"/>
    <w:basedOn w:val="Normal"/>
    <w:qFormat/>
    <w:rsid w:val="002549BE"/>
    <w:pPr>
      <w:spacing w:after="86"/>
      <w:ind w:right="-850"/>
      <w:jc w:val="left"/>
    </w:pPr>
    <w:rPr>
      <w:rFonts w:ascii="Century Gothic" w:hAnsi="Century Gothic"/>
      <w:b/>
      <w:bCs/>
      <w:color w:val="004976"/>
      <w:sz w:val="18"/>
      <w:szCs w:val="18"/>
    </w:rPr>
  </w:style>
  <w:style w:type="paragraph" w:customStyle="1" w:styleId="RSCH4">
    <w:name w:val="RSC H4"/>
    <w:basedOn w:val="RSCH2"/>
    <w:qFormat/>
    <w:rsid w:val="00FC3B24"/>
    <w:pPr>
      <w:spacing w:before="302" w:after="115"/>
    </w:pPr>
    <w:rPr>
      <w:b w:val="0"/>
      <w:bCs w:val="0"/>
      <w:i/>
      <w:iCs/>
      <w:sz w:val="20"/>
      <w:szCs w:val="20"/>
    </w:rPr>
  </w:style>
  <w:style w:type="paragraph" w:customStyle="1" w:styleId="RSCEQ">
    <w:name w:val="RSC EQ"/>
    <w:basedOn w:val="RSCBasictext"/>
    <w:qFormat/>
    <w:rsid w:val="00893F3D"/>
    <w:pPr>
      <w:jc w:val="center"/>
    </w:pPr>
  </w:style>
  <w:style w:type="table" w:styleId="TableGrid">
    <w:name w:val="Table Grid"/>
    <w:basedOn w:val="TableNormal"/>
    <w:uiPriority w:val="39"/>
    <w:rsid w:val="00D00AB5"/>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7">
    <w:name w:val="Current List7"/>
    <w:uiPriority w:val="99"/>
    <w:rsid w:val="00A13442"/>
    <w:pPr>
      <w:numPr>
        <w:numId w:val="20"/>
      </w:numPr>
    </w:pPr>
  </w:style>
  <w:style w:type="character" w:styleId="UnresolvedMention">
    <w:name w:val="Unresolved Mention"/>
    <w:basedOn w:val="DefaultParagraphFont"/>
    <w:uiPriority w:val="99"/>
    <w:semiHidden/>
    <w:unhideWhenUsed/>
    <w:rsid w:val="00905E09"/>
    <w:rPr>
      <w:color w:val="605E5C"/>
      <w:shd w:val="clear" w:color="auto" w:fill="E1DFDD"/>
    </w:rPr>
  </w:style>
  <w:style w:type="character" w:styleId="IntenseEmphasis">
    <w:name w:val="Intense Emphasis"/>
    <w:basedOn w:val="DefaultParagraphFont"/>
    <w:uiPriority w:val="21"/>
    <w:qFormat/>
    <w:rsid w:val="005A5001"/>
    <w:rPr>
      <w:i/>
      <w:iCs/>
      <w:color w:val="991E66" w:themeColor="accent1"/>
    </w:rPr>
  </w:style>
  <w:style w:type="paragraph" w:customStyle="1" w:styleId="Standard">
    <w:name w:val="Standard"/>
    <w:uiPriority w:val="99"/>
    <w:semiHidden/>
    <w:rsid w:val="00071B48"/>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000624"/>
    <w:rPr>
      <w:sz w:val="16"/>
      <w:szCs w:val="16"/>
    </w:rPr>
  </w:style>
  <w:style w:type="paragraph" w:styleId="CommentText0">
    <w:name w:val="annotation text"/>
    <w:basedOn w:val="Normal"/>
    <w:link w:val="CommentTextChar"/>
    <w:uiPriority w:val="99"/>
    <w:unhideWhenUsed/>
    <w:rsid w:val="00000624"/>
    <w:pPr>
      <w:spacing w:line="240" w:lineRule="auto"/>
    </w:pPr>
  </w:style>
  <w:style w:type="character" w:customStyle="1" w:styleId="CommentTextChar">
    <w:name w:val="Comment Text Char"/>
    <w:basedOn w:val="DefaultParagraphFont"/>
    <w:link w:val="CommentText0"/>
    <w:uiPriority w:val="99"/>
    <w:rsid w:val="00000624"/>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000624"/>
    <w:rPr>
      <w:b/>
      <w:bCs/>
    </w:rPr>
  </w:style>
  <w:style w:type="character" w:customStyle="1" w:styleId="CommentSubjectChar">
    <w:name w:val="Comment Subject Char"/>
    <w:basedOn w:val="CommentTextChar"/>
    <w:link w:val="CommentSubject"/>
    <w:uiPriority w:val="99"/>
    <w:semiHidden/>
    <w:rsid w:val="00000624"/>
    <w:rPr>
      <w:rFonts w:ascii="Arial" w:hAnsi="Arial" w:cs="Arial"/>
      <w:b/>
      <w:bCs/>
      <w:sz w:val="20"/>
      <w:szCs w:val="20"/>
      <w:lang w:eastAsia="zh-CN"/>
    </w:rPr>
  </w:style>
  <w:style w:type="paragraph" w:styleId="ListParagraph">
    <w:name w:val="List Paragraph"/>
    <w:basedOn w:val="Normal"/>
    <w:uiPriority w:val="34"/>
    <w:qFormat/>
    <w:rsid w:val="002917E0"/>
    <w:pPr>
      <w:ind w:left="720"/>
      <w:contextualSpacing/>
    </w:pPr>
  </w:style>
  <w:style w:type="character" w:styleId="FollowedHyperlink">
    <w:name w:val="FollowedHyperlink"/>
    <w:basedOn w:val="DefaultParagraphFont"/>
    <w:uiPriority w:val="99"/>
    <w:semiHidden/>
    <w:unhideWhenUsed/>
    <w:rsid w:val="00B911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3941">
      <w:bodyDiv w:val="1"/>
      <w:marLeft w:val="0"/>
      <w:marRight w:val="0"/>
      <w:marTop w:val="0"/>
      <w:marBottom w:val="0"/>
      <w:divBdr>
        <w:top w:val="none" w:sz="0" w:space="0" w:color="auto"/>
        <w:left w:val="none" w:sz="0" w:space="0" w:color="auto"/>
        <w:bottom w:val="none" w:sz="0" w:space="0" w:color="auto"/>
        <w:right w:val="none" w:sz="0" w:space="0" w:color="auto"/>
      </w:divBdr>
    </w:div>
    <w:div w:id="96678071">
      <w:bodyDiv w:val="1"/>
      <w:marLeft w:val="0"/>
      <w:marRight w:val="0"/>
      <w:marTop w:val="0"/>
      <w:marBottom w:val="0"/>
      <w:divBdr>
        <w:top w:val="none" w:sz="0" w:space="0" w:color="auto"/>
        <w:left w:val="none" w:sz="0" w:space="0" w:color="auto"/>
        <w:bottom w:val="none" w:sz="0" w:space="0" w:color="auto"/>
        <w:right w:val="none" w:sz="0" w:space="0" w:color="auto"/>
      </w:divBdr>
    </w:div>
    <w:div w:id="431436676">
      <w:bodyDiv w:val="1"/>
      <w:marLeft w:val="0"/>
      <w:marRight w:val="0"/>
      <w:marTop w:val="0"/>
      <w:marBottom w:val="0"/>
      <w:divBdr>
        <w:top w:val="none" w:sz="0" w:space="0" w:color="auto"/>
        <w:left w:val="none" w:sz="0" w:space="0" w:color="auto"/>
        <w:bottom w:val="none" w:sz="0" w:space="0" w:color="auto"/>
        <w:right w:val="none" w:sz="0" w:space="0" w:color="auto"/>
      </w:divBdr>
    </w:div>
    <w:div w:id="713578213">
      <w:bodyDiv w:val="1"/>
      <w:marLeft w:val="0"/>
      <w:marRight w:val="0"/>
      <w:marTop w:val="0"/>
      <w:marBottom w:val="0"/>
      <w:divBdr>
        <w:top w:val="none" w:sz="0" w:space="0" w:color="auto"/>
        <w:left w:val="none" w:sz="0" w:space="0" w:color="auto"/>
        <w:bottom w:val="none" w:sz="0" w:space="0" w:color="auto"/>
        <w:right w:val="none" w:sz="0" w:space="0" w:color="auto"/>
      </w:divBdr>
    </w:div>
    <w:div w:id="818183212">
      <w:bodyDiv w:val="1"/>
      <w:marLeft w:val="0"/>
      <w:marRight w:val="0"/>
      <w:marTop w:val="0"/>
      <w:marBottom w:val="0"/>
      <w:divBdr>
        <w:top w:val="none" w:sz="0" w:space="0" w:color="auto"/>
        <w:left w:val="none" w:sz="0" w:space="0" w:color="auto"/>
        <w:bottom w:val="none" w:sz="0" w:space="0" w:color="auto"/>
        <w:right w:val="none" w:sz="0" w:space="0" w:color="auto"/>
      </w:divBdr>
    </w:div>
    <w:div w:id="1252394981">
      <w:bodyDiv w:val="1"/>
      <w:marLeft w:val="0"/>
      <w:marRight w:val="0"/>
      <w:marTop w:val="0"/>
      <w:marBottom w:val="0"/>
      <w:divBdr>
        <w:top w:val="none" w:sz="0" w:space="0" w:color="auto"/>
        <w:left w:val="none" w:sz="0" w:space="0" w:color="auto"/>
        <w:bottom w:val="none" w:sz="0" w:space="0" w:color="auto"/>
        <w:right w:val="none" w:sz="0" w:space="0" w:color="auto"/>
      </w:divBdr>
    </w:div>
    <w:div w:id="2058387142">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6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rsc.org/exhibition-chemistry/shed-new-light-on-the-two-faced-reaction/4023804.article?utm_source=4023804&amp;utm_medium=download&amp;utm_campaign=exche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EiC plum">
      <a:dk1>
        <a:sysClr val="windowText" lastClr="000000"/>
      </a:dk1>
      <a:lt1>
        <a:sysClr val="window" lastClr="FFFFFF"/>
      </a:lt1>
      <a:dk2>
        <a:srgbClr val="44546A"/>
      </a:dk2>
      <a:lt2>
        <a:srgbClr val="E7E6E6"/>
      </a:lt2>
      <a:accent1>
        <a:srgbClr val="991E66"/>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6323CF2E6F4B49A6DDEF4A66CD6019" ma:contentTypeVersion="22" ma:contentTypeDescription="Create a new document." ma:contentTypeScope="" ma:versionID="00e93738e319748e28497b1e7b60117a">
  <xsd:schema xmlns:xsd="http://www.w3.org/2001/XMLSchema" xmlns:xs="http://www.w3.org/2001/XMLSchema" xmlns:p="http://schemas.microsoft.com/office/2006/metadata/properties" xmlns:ns2="e3074997-3d9c-4d84-bd7a-4c096fc63e57" xmlns:ns3="44303df1-f625-401d-870a-accd1b2b7593" targetNamespace="http://schemas.microsoft.com/office/2006/metadata/properties" ma:root="true" ma:fieldsID="d47135a0d8d7653328cf3164867506f3" ns2:_="" ns3:_="">
    <xsd:import namespace="e3074997-3d9c-4d84-bd7a-4c096fc63e57"/>
    <xsd:import namespace="44303df1-f625-401d-870a-accd1b2b7593"/>
    <xsd:element name="properties">
      <xsd:complexType>
        <xsd:sequence>
          <xsd:element name="documentManagement">
            <xsd:complexType>
              <xsd:all>
                <xsd:element ref="ns2:n7b504db7a1f4121af62d7dde2f43036" minOccurs="0"/>
                <xsd:element ref="ns3:TaxCatchAll" minOccurs="0"/>
                <xsd:element ref="ns2:b569b86bd8fd46f693512e8bddacb3f6" minOccurs="0"/>
                <xsd:element ref="ns2:b9de0c3256d748e284af5b40895c1451" minOccurs="0"/>
                <xsd:element ref="ns2:i10d55677a0f46eeb3909f8b19131c80" minOccurs="0"/>
                <xsd:element ref="ns2:d5ec952c3671439b9c1b97dc2ac5212f"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74997-3d9c-4d84-bd7a-4c096fc63e57" elementFormDefault="qualified">
    <xsd:import namespace="http://schemas.microsoft.com/office/2006/documentManagement/types"/>
    <xsd:import namespace="http://schemas.microsoft.com/office/infopath/2007/PartnerControls"/>
    <xsd:element name="n7b504db7a1f4121af62d7dde2f43036" ma:index="9" ma:taxonomy="true" ma:internalName="n7b504db7a1f4121af62d7dde2f43036" ma:taxonomyFieldName="Directorate_x002f_Team_x002f_Function" ma:displayName="Directorate/Team/Function" ma:default="" ma:fieldId="{77b504db-7a1f-4121-af62-d7dde2f43036}" ma:taxonomyMulti="true" ma:sspId="acd698d5-2c6c-40f3-87af-cb5c6c865f62" ma:termSetId="6f21a7af-7e80-4763-b0f3-f88080127d59" ma:anchorId="00000000-0000-0000-0000-000000000000" ma:open="false" ma:isKeyword="false">
      <xsd:complexType>
        <xsd:sequence>
          <xsd:element ref="pc:Terms" minOccurs="0" maxOccurs="1"/>
        </xsd:sequence>
      </xsd:complexType>
    </xsd:element>
    <xsd:element name="b569b86bd8fd46f693512e8bddacb3f6" ma:index="12" ma:taxonomy="true" ma:internalName="b569b86bd8fd46f693512e8bddacb3f6" ma:taxonomyFieldName="Document_x0020_Type" ma:displayName="Document Type" ma:default="" ma:fieldId="{b569b86b-d8fd-46f6-9351-2e8bddacb3f6}" ma:taxonomyMulti="true" ma:sspId="acd698d5-2c6c-40f3-87af-cb5c6c865f62" ma:termSetId="0e861dca-3791-4471-a8b5-1ac06fdd1e89" ma:anchorId="00000000-0000-0000-0000-000000000000" ma:open="false" ma:isKeyword="false">
      <xsd:complexType>
        <xsd:sequence>
          <xsd:element ref="pc:Terms" minOccurs="0" maxOccurs="1"/>
        </xsd:sequence>
      </xsd:complexType>
    </xsd:element>
    <xsd:element name="b9de0c3256d748e284af5b40895c1451" ma:index="14" ma:taxonomy="true" ma:internalName="b9de0c3256d748e284af5b40895c1451" ma:taxonomyFieldName="Platform_x002f_Software" ma:displayName="Platform/Software" ma:default="" ma:fieldId="{b9de0c32-56d7-48e2-84af-5b40895c1451}" ma:taxonomyMulti="true" ma:sspId="acd698d5-2c6c-40f3-87af-cb5c6c865f62" ma:termSetId="5ec93098-1380-4d9d-a407-4f2fa6590381" ma:anchorId="00000000-0000-0000-0000-000000000000" ma:open="false" ma:isKeyword="false">
      <xsd:complexType>
        <xsd:sequence>
          <xsd:element ref="pc:Terms" minOccurs="0" maxOccurs="1"/>
        </xsd:sequence>
      </xsd:complexType>
    </xsd:element>
    <xsd:element name="i10d55677a0f46eeb3909f8b19131c80" ma:index="16" ma:taxonomy="true" ma:internalName="i10d55677a0f46eeb3909f8b19131c80" ma:taxonomyFieldName="Project_x002f_Product" ma:displayName="Project/Product" ma:default="" ma:fieldId="{210d5567-7a0f-46ee-b390-9f8b19131c80}" ma:taxonomyMulti="true" ma:sspId="acd698d5-2c6c-40f3-87af-cb5c6c865f62" ma:termSetId="b5afdfc8-a30d-4e9f-963f-82651d355fa4" ma:anchorId="00000000-0000-0000-0000-000000000000" ma:open="false" ma:isKeyword="false">
      <xsd:complexType>
        <xsd:sequence>
          <xsd:element ref="pc:Terms" minOccurs="0" maxOccurs="1"/>
        </xsd:sequence>
      </xsd:complexType>
    </xsd:element>
    <xsd:element name="d5ec952c3671439b9c1b97dc2ac5212f" ma:index="18" ma:taxonomy="true" ma:internalName="d5ec952c3671439b9c1b97dc2ac5212f" ma:taxonomyFieldName="Watchword" ma:displayName="Watchword" ma:default="" ma:fieldId="{d5ec952c-3671-439b-9c1b-97dc2ac5212f}" ma:taxonomyMulti="true" ma:sspId="acd698d5-2c6c-40f3-87af-cb5c6c865f62" ma:termSetId="1f8212ee-fa5e-40cf-a106-3e9510d6c62d" ma:anchorId="00000000-0000-0000-0000-000000000000" ma:open="false" ma:isKeyword="false">
      <xsd:complexType>
        <xsd:sequence>
          <xsd:element ref="pc:Terms" minOccurs="0" maxOccurs="1"/>
        </xsd:sequence>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303df1-f625-401d-870a-accd1b2b75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519040-3cf5-4337-a4d6-3c4812ac86d8}" ma:internalName="TaxCatchAll" ma:showField="CatchAllData" ma:web="44303df1-f625-401d-870a-accd1b2b75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4303df1-f625-401d-870a-accd1b2b7593">
      <Value>33</Value>
      <Value>30</Value>
      <Value>46</Value>
      <Value>7</Value>
      <Value>37</Value>
      <Value>52</Value>
    </TaxCatchAll>
    <lcf76f155ced4ddcb4097134ff3c332f xmlns="e3074997-3d9c-4d84-bd7a-4c096fc63e57">
      <Terms xmlns="http://schemas.microsoft.com/office/infopath/2007/PartnerControls"/>
    </lcf76f155ced4ddcb4097134ff3c332f>
    <b569b86bd8fd46f693512e8bddacb3f6 xmlns="e3074997-3d9c-4d84-bd7a-4c096fc63e57">
      <Terms xmlns="http://schemas.microsoft.com/office/infopath/2007/PartnerControls">
        <TermInfo xmlns="http://schemas.microsoft.com/office/infopath/2007/PartnerControls">
          <TermName xmlns="http://schemas.microsoft.com/office/infopath/2007/PartnerControls">Technician Notes</TermName>
          <TermId xmlns="http://schemas.microsoft.com/office/infopath/2007/PartnerControls">afafb102-19b7-4874-b073-d04e9c6822ef</TermId>
        </TermInfo>
      </Terms>
    </b569b86bd8fd46f693512e8bddacb3f6>
    <i10d55677a0f46eeb3909f8b19131c80 xmlns="e3074997-3d9c-4d84-bd7a-4c096fc63e57">
      <Terms xmlns="http://schemas.microsoft.com/office/infopath/2007/PartnerControls">
        <TermInfo xmlns="http://schemas.microsoft.com/office/infopath/2007/PartnerControls">
          <TermName xmlns="http://schemas.microsoft.com/office/infopath/2007/PartnerControls">Education in Chemistry</TermName>
          <TermId xmlns="http://schemas.microsoft.com/office/infopath/2007/PartnerControls">88c676fb-4f12-4aea-9455-9b66df1d1cf1</TermId>
        </TermInfo>
      </Terms>
    </i10d55677a0f46eeb3909f8b19131c80>
    <d5ec952c3671439b9c1b97dc2ac5212f xmlns="e3074997-3d9c-4d84-bd7a-4c096fc63e57">
      <Terms xmlns="http://schemas.microsoft.com/office/infopath/2007/PartnerControls">
        <TermInfo xmlns="http://schemas.microsoft.com/office/infopath/2007/PartnerControls">
          <TermName xmlns="http://schemas.microsoft.com/office/infopath/2007/PartnerControls">September</TermName>
          <TermId xmlns="http://schemas.microsoft.com/office/infopath/2007/PartnerControls">22fef80e-94f1-422c-8a22-6c0c6f713b1c</TermId>
        </TermInfo>
        <TermInfo xmlns="http://schemas.microsoft.com/office/infopath/2007/PartnerControls">
          <TermName xmlns="http://schemas.microsoft.com/office/infopath/2007/PartnerControls">2026</TermName>
          <TermId xmlns="http://schemas.microsoft.com/office/infopath/2007/PartnerControls">7e6aac3d-800f-4302-944f-6a5eec8e3838</TermId>
        </TermInfo>
      </Terms>
    </d5ec952c3671439b9c1b97dc2ac5212f>
    <n7b504db7a1f4121af62d7dde2f43036 xmlns="e3074997-3d9c-4d84-bd7a-4c096fc63e57">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6f01d4b6-f8a8-4b3c-8e47-a0b2d31f46b9</TermId>
        </TermInfo>
      </Terms>
    </n7b504db7a1f4121af62d7dde2f43036>
    <b9de0c3256d748e284af5b40895c1451 xmlns="e3074997-3d9c-4d84-bd7a-4c096fc63e57">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d2840a79-f070-44ee-81f4-348f0646ea6c</TermId>
        </TermInfo>
      </Terms>
    </b9de0c3256d748e284af5b40895c145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771884-C18E-480A-8579-61ADCC604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74997-3d9c-4d84-bd7a-4c096fc63e57"/>
    <ds:schemaRef ds:uri="44303df1-f625-401d-870a-accd1b2b7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14BEB7-6C57-4F20-AD56-590B2E4485F1}">
  <ds:schemaRefs>
    <ds:schemaRef ds:uri="http://schemas.openxmlformats.org/officeDocument/2006/bibliography"/>
  </ds:schemaRefs>
</ds:datastoreItem>
</file>

<file path=customXml/itemProps3.xml><?xml version="1.0" encoding="utf-8"?>
<ds:datastoreItem xmlns:ds="http://schemas.openxmlformats.org/officeDocument/2006/customXml" ds:itemID="{7437FAA5-0849-4990-B06C-F1A9AC7F2246}">
  <ds:schemaRefs>
    <ds:schemaRef ds:uri="http://schemas.microsoft.com/office/2006/metadata/properties"/>
    <ds:schemaRef ds:uri="http://schemas.microsoft.com/office/infopath/2007/PartnerControls"/>
    <ds:schemaRef ds:uri="44303df1-f625-401d-870a-accd1b2b7593"/>
    <ds:schemaRef ds:uri="e3074997-3d9c-4d84-bd7a-4c096fc63e57"/>
  </ds:schemaRefs>
</ds:datastoreItem>
</file>

<file path=customXml/itemProps4.xml><?xml version="1.0" encoding="utf-8"?>
<ds:datastoreItem xmlns:ds="http://schemas.openxmlformats.org/officeDocument/2006/customXml" ds:itemID="{92EB8393-8B52-455D-A40E-A3FD6AE6B2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technician notes</vt:lpstr>
    </vt:vector>
  </TitlesOfParts>
  <Manager/>
  <Company>Royal Society of Chemistry</Company>
  <LinksUpToDate>false</LinksUpToDate>
  <CharactersWithSpaces>4637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Shed new light on the two-faced reaction technician notes</dc:title>
  <dc:subject/>
  <dc:creator>Royal Society of Chemistry</dc:creator>
  <cp:keywords>demonstration, experiment, practical, chemistry, science, photochemical</cp:keywords>
  <dc:description>From Shed new light on the two-faced reaction, Education in Chemistry, https://rsc.li/4qBduTI</dc:description>
  <cp:lastModifiedBy>Emily Kelly</cp:lastModifiedBy>
  <cp:revision>16</cp:revision>
  <cp:lastPrinted>2026-08-27T14:06:00Z</cp:lastPrinted>
  <dcterms:created xsi:type="dcterms:W3CDTF">2026-08-26T14:11:00Z</dcterms:created>
  <dcterms:modified xsi:type="dcterms:W3CDTF">2026-08-27T14:08:00Z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0x010100836323CF2E6F4B49A6DDEF4A66CD6019</vt:lpwstr>
  </property>
  <property fmtid="{D5CDD505-2E9C-101B-9397-08002B2CF9AE}" pid="4" name="Project/Product">
    <vt:lpwstr>33;#Education in Chemistry|88c676fb-4f12-4aea-9455-9b66df1d1cf1</vt:lpwstr>
  </property>
  <property fmtid="{D5CDD505-2E9C-101B-9397-08002B2CF9AE}" pid="5" name="Document_x0020_Type">
    <vt:lpwstr>46;#Technician Notes|afafb102-19b7-4874-b073-d04e9c6822ef</vt:lpwstr>
  </property>
  <property fmtid="{D5CDD505-2E9C-101B-9397-08002B2CF9AE}" pid="6" name="Platform_x002f_Software">
    <vt:lpwstr>30;#Education|d2840a79-f070-44ee-81f4-348f0646ea6c</vt:lpwstr>
  </property>
  <property fmtid="{D5CDD505-2E9C-101B-9397-08002B2CF9AE}" pid="7" name="Watchword">
    <vt:lpwstr>37;#September|22fef80e-94f1-422c-8a22-6c0c6f713b1c;#52;#2026|7e6aac3d-800f-4302-944f-6a5eec8e3838</vt:lpwstr>
  </property>
  <property fmtid="{D5CDD505-2E9C-101B-9397-08002B2CF9AE}" pid="8" name="Platform/Software">
    <vt:lpwstr>30;#Education|d2840a79-f070-44ee-81f4-348f0646ea6c</vt:lpwstr>
  </property>
  <property fmtid="{D5CDD505-2E9C-101B-9397-08002B2CF9AE}" pid="9" name="Document Type">
    <vt:lpwstr>46;#Technician Notes|afafb102-19b7-4874-b073-d04e9c6822ef</vt:lpwstr>
  </property>
  <property fmtid="{D5CDD505-2E9C-101B-9397-08002B2CF9AE}" pid="10" name="Directorate_x002f_Team_x002f_Function">
    <vt:lpwstr>7;#Education|6f01d4b6-f8a8-4b3c-8e47-a0b2d31f46b9</vt:lpwstr>
  </property>
  <property fmtid="{D5CDD505-2E9C-101B-9397-08002B2CF9AE}" pid="11" name="Project_x002f_Product">
    <vt:lpwstr>33;#Education in Chemistry|88c676fb-4f12-4aea-9455-9b66df1d1cf1</vt:lpwstr>
  </property>
  <property fmtid="{D5CDD505-2E9C-101B-9397-08002B2CF9AE}" pid="12" name="Directorate/Team/Function">
    <vt:lpwstr>7;#Education|6f01d4b6-f8a8-4b3c-8e47-a0b2d31f46b9</vt:lpwstr>
  </property>
</Properties>
</file>