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548CD" w14:textId="41681817" w:rsidR="005F286E" w:rsidRPr="003B7300" w:rsidRDefault="00E4272B" w:rsidP="00CF6E3E">
      <w:pPr>
        <w:pStyle w:val="RSCH1"/>
      </w:pPr>
      <w:r>
        <w:t>WABOLL and WAGOLL</w:t>
      </w:r>
    </w:p>
    <w:p w14:paraId="522D16BD" w14:textId="40787A8F" w:rsidR="00D00AB5" w:rsidRDefault="00905E09" w:rsidP="006A1D0B">
      <w:pPr>
        <w:pStyle w:val="RSCBasictext"/>
        <w:rPr>
          <w:b/>
          <w:bCs/>
          <w:color w:val="991E66" w:themeColor="accent1"/>
        </w:rPr>
      </w:pPr>
      <w:r>
        <w:rPr>
          <w:lang w:eastAsia="en-GB"/>
        </w:rPr>
        <w:t>This resource</w:t>
      </w:r>
      <w:r w:rsidR="001A278F">
        <w:rPr>
          <w:lang w:eastAsia="en-GB"/>
        </w:rPr>
        <w:t xml:space="preserve"> accompanies the article</w:t>
      </w:r>
      <w:r w:rsidR="00A03B4F">
        <w:rPr>
          <w:lang w:eastAsia="en-GB"/>
        </w:rPr>
        <w:t xml:space="preserve"> </w:t>
      </w:r>
      <w:r w:rsidR="00A03B4F">
        <w:rPr>
          <w:b/>
          <w:bCs/>
          <w:lang w:eastAsia="en-GB"/>
        </w:rPr>
        <w:t>Secure student success writing titration methods</w:t>
      </w:r>
      <w:r w:rsidR="001A278F">
        <w:rPr>
          <w:lang w:eastAsia="en-GB"/>
        </w:rPr>
        <w:t xml:space="preserve"> in </w:t>
      </w:r>
      <w:r w:rsidR="001A278F" w:rsidRPr="001A278F">
        <w:rPr>
          <w:i/>
          <w:iCs/>
          <w:lang w:eastAsia="en-GB"/>
        </w:rPr>
        <w:t>Education in Chemistry</w:t>
      </w:r>
      <w:r w:rsidR="001A278F">
        <w:rPr>
          <w:lang w:eastAsia="en-GB"/>
        </w:rPr>
        <w:t xml:space="preserve"> which </w:t>
      </w:r>
      <w:r w:rsidR="003D790F">
        <w:rPr>
          <w:lang w:eastAsia="en-GB"/>
        </w:rPr>
        <w:t xml:space="preserve">you </w:t>
      </w:r>
      <w:r w:rsidR="001A278F">
        <w:rPr>
          <w:lang w:eastAsia="en-GB"/>
        </w:rPr>
        <w:t xml:space="preserve">can </w:t>
      </w:r>
      <w:r w:rsidR="008062B7">
        <w:rPr>
          <w:lang w:eastAsia="en-GB"/>
        </w:rPr>
        <w:t>read</w:t>
      </w:r>
      <w:r w:rsidR="001A278F">
        <w:rPr>
          <w:lang w:eastAsia="en-GB"/>
        </w:rPr>
        <w:t xml:space="preserve"> at: </w:t>
      </w:r>
      <w:r w:rsidR="00F30B94" w:rsidRPr="0051570C">
        <w:rPr>
          <w:b/>
          <w:bCs/>
          <w:color w:val="991E66" w:themeColor="accent1"/>
        </w:rPr>
        <w:t>rsc.li/3UhHUhQ</w:t>
      </w:r>
    </w:p>
    <w:p w14:paraId="7FB10FAE" w14:textId="77777777" w:rsidR="006A1D0B" w:rsidRPr="00F30B94" w:rsidRDefault="006A1D0B" w:rsidP="006A1D0B">
      <w:pPr>
        <w:pStyle w:val="RSCBasictext"/>
        <w:rPr>
          <w:lang w:eastAsia="en-GB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73"/>
        <w:gridCol w:w="3476"/>
        <w:gridCol w:w="3067"/>
      </w:tblGrid>
      <w:tr w:rsidR="00D00AB5" w:rsidRPr="00AD7416" w14:paraId="2983FF20" w14:textId="77777777" w:rsidTr="00F30B94">
        <w:trPr>
          <w:trHeight w:val="482"/>
          <w:jc w:val="center"/>
        </w:trPr>
        <w:tc>
          <w:tcPr>
            <w:tcW w:w="2473" w:type="dxa"/>
            <w:shd w:val="clear" w:color="auto" w:fill="F1B9DA"/>
            <w:vAlign w:val="center"/>
          </w:tcPr>
          <w:p w14:paraId="26CE35F7" w14:textId="19947B8A" w:rsidR="00D00AB5" w:rsidRPr="00AD7416" w:rsidRDefault="0061154B" w:rsidP="00806D6F">
            <w:pPr>
              <w:spacing w:before="58" w:after="58" w:line="259" w:lineRule="auto"/>
              <w:ind w:left="0" w:right="28" w:firstLine="0"/>
              <w:jc w:val="left"/>
              <w:rPr>
                <w:rFonts w:ascii="Century Gothic" w:hAnsi="Century Gothic"/>
                <w:b/>
                <w:bCs/>
                <w:color w:val="991E66"/>
              </w:rPr>
            </w:pPr>
            <w:r w:rsidRPr="00AD7416">
              <w:rPr>
                <w:rFonts w:ascii="Century Gothic" w:hAnsi="Century Gothic"/>
                <w:b/>
                <w:bCs/>
                <w:color w:val="991E66"/>
              </w:rPr>
              <w:t>Don’t just say …</w:t>
            </w:r>
          </w:p>
        </w:tc>
        <w:tc>
          <w:tcPr>
            <w:tcW w:w="3476" w:type="dxa"/>
            <w:shd w:val="clear" w:color="auto" w:fill="F1B9DA"/>
            <w:vAlign w:val="center"/>
          </w:tcPr>
          <w:p w14:paraId="4FF90E62" w14:textId="7FDDC443" w:rsidR="00D00AB5" w:rsidRPr="00AD7416" w:rsidRDefault="0061154B" w:rsidP="00AA2485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991E66"/>
              </w:rPr>
            </w:pPr>
            <w:r w:rsidRPr="00AD7416">
              <w:rPr>
                <w:rFonts w:ascii="Century Gothic" w:hAnsi="Century Gothic"/>
                <w:b/>
                <w:bCs/>
                <w:color w:val="991E66"/>
              </w:rPr>
              <w:t xml:space="preserve">Instead, say … </w:t>
            </w:r>
          </w:p>
        </w:tc>
        <w:tc>
          <w:tcPr>
            <w:tcW w:w="3067" w:type="dxa"/>
            <w:shd w:val="clear" w:color="auto" w:fill="F1B9DA"/>
            <w:vAlign w:val="center"/>
          </w:tcPr>
          <w:p w14:paraId="20A9B4A6" w14:textId="4710D308" w:rsidR="00D00AB5" w:rsidRPr="00AD7416" w:rsidRDefault="0061154B" w:rsidP="001D1067">
            <w:pPr>
              <w:spacing w:before="60" w:after="60" w:line="259" w:lineRule="auto"/>
              <w:ind w:left="0" w:right="-1" w:firstLine="0"/>
              <w:jc w:val="left"/>
              <w:rPr>
                <w:rFonts w:ascii="Century Gothic" w:hAnsi="Century Gothic"/>
                <w:b/>
                <w:bCs/>
                <w:color w:val="991E66"/>
              </w:rPr>
            </w:pPr>
            <w:r w:rsidRPr="00AD7416">
              <w:rPr>
                <w:rFonts w:ascii="Century Gothic" w:hAnsi="Century Gothic"/>
                <w:b/>
                <w:bCs/>
                <w:color w:val="991E66"/>
              </w:rPr>
              <w:t>Because …</w:t>
            </w:r>
          </w:p>
        </w:tc>
      </w:tr>
      <w:tr w:rsidR="00AA2485" w:rsidRPr="00AD7416" w14:paraId="44558324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47DF38A7" w14:textId="5DED457D" w:rsidR="00AA2485" w:rsidRPr="00AD7416" w:rsidRDefault="0079210B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Clean out the burette and pipette before use</w:t>
            </w:r>
          </w:p>
        </w:tc>
        <w:tc>
          <w:tcPr>
            <w:tcW w:w="3476" w:type="dxa"/>
            <w:vAlign w:val="center"/>
          </w:tcPr>
          <w:p w14:paraId="598D4A30" w14:textId="36F63054" w:rsidR="00AA2485" w:rsidRPr="00AD7416" w:rsidRDefault="007124EB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Rinse the burette with sodium hydroxide and the pipette with hydrochloric acid</w:t>
            </w:r>
          </w:p>
        </w:tc>
        <w:tc>
          <w:tcPr>
            <w:tcW w:w="3067" w:type="dxa"/>
            <w:vAlign w:val="center"/>
          </w:tcPr>
          <w:p w14:paraId="1C640661" w14:textId="0754B0A2" w:rsidR="00AA2485" w:rsidRPr="00AD7416" w:rsidRDefault="0091775D" w:rsidP="008C32D2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removes any potential contaminants</w:t>
            </w:r>
          </w:p>
        </w:tc>
      </w:tr>
      <w:tr w:rsidR="00AA2485" w:rsidRPr="00AD7416" w14:paraId="13325165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1F94D5FF" w14:textId="27179AFC" w:rsidR="00AA2485" w:rsidRPr="00AD7416" w:rsidRDefault="00B57624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Fill the burette with sodium hydroxide</w:t>
            </w:r>
          </w:p>
        </w:tc>
        <w:tc>
          <w:tcPr>
            <w:tcW w:w="3476" w:type="dxa"/>
            <w:vAlign w:val="center"/>
          </w:tcPr>
          <w:p w14:paraId="2BE249EA" w14:textId="6549AF69" w:rsidR="00AA2485" w:rsidRPr="00AD7416" w:rsidRDefault="00287671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Fill the burette with sodium hydroxide using a funnel</w:t>
            </w:r>
          </w:p>
        </w:tc>
        <w:tc>
          <w:tcPr>
            <w:tcW w:w="3067" w:type="dxa"/>
            <w:vAlign w:val="center"/>
          </w:tcPr>
          <w:p w14:paraId="233A6B47" w14:textId="445F0484" w:rsidR="00AA2485" w:rsidRPr="00AD7416" w:rsidRDefault="00F34798" w:rsidP="008C32D2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is safer and prevents spillage</w:t>
            </w:r>
          </w:p>
        </w:tc>
      </w:tr>
      <w:tr w:rsidR="00F34CDD" w:rsidRPr="00AD7416" w14:paraId="42B8EB9B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0C6957ED" w14:textId="4033D8FD" w:rsidR="00F34CDD" w:rsidRPr="00AD7416" w:rsidRDefault="00F34CDD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hydrochloric acid to a flask</w:t>
            </w:r>
          </w:p>
        </w:tc>
        <w:tc>
          <w:tcPr>
            <w:tcW w:w="3476" w:type="dxa"/>
            <w:vAlign w:val="center"/>
          </w:tcPr>
          <w:p w14:paraId="405ED678" w14:textId="0C787FF2" w:rsidR="00F34CDD" w:rsidRPr="00AD7416" w:rsidRDefault="00F34CDD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hydrochloric acid to a flask and place on a white tile</w:t>
            </w:r>
          </w:p>
        </w:tc>
        <w:tc>
          <w:tcPr>
            <w:tcW w:w="3067" w:type="dxa"/>
            <w:vAlign w:val="center"/>
          </w:tcPr>
          <w:p w14:paraId="11569C5A" w14:textId="6C3F6EC9" w:rsidR="00F34CDD" w:rsidRPr="00AD7416" w:rsidRDefault="00F34CDD" w:rsidP="008C32D2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allows the colour change to be seen more clearly</w:t>
            </w:r>
          </w:p>
        </w:tc>
      </w:tr>
      <w:tr w:rsidR="00862933" w:rsidRPr="00AD7416" w14:paraId="0AC310A3" w14:textId="77777777" w:rsidTr="00F30B94">
        <w:trPr>
          <w:trHeight w:val="482"/>
          <w:jc w:val="center"/>
        </w:trPr>
        <w:tc>
          <w:tcPr>
            <w:tcW w:w="2473" w:type="dxa"/>
          </w:tcPr>
          <w:p w14:paraId="4B337B04" w14:textId="17CA9BB1" w:rsidR="00862933" w:rsidRPr="00AD7416" w:rsidRDefault="00862933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Write down the amount in the burette</w:t>
            </w:r>
          </w:p>
        </w:tc>
        <w:tc>
          <w:tcPr>
            <w:tcW w:w="3476" w:type="dxa"/>
            <w:vAlign w:val="center"/>
          </w:tcPr>
          <w:p w14:paraId="11031CE7" w14:textId="2B21D1A4" w:rsidR="00862933" w:rsidRPr="00AD7416" w:rsidRDefault="007940FC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Read the initial volume on the burette at eye level or to the bottom of the meniscus</w:t>
            </w:r>
          </w:p>
        </w:tc>
        <w:tc>
          <w:tcPr>
            <w:tcW w:w="3067" w:type="dxa"/>
            <w:vAlign w:val="center"/>
          </w:tcPr>
          <w:p w14:paraId="3F78723B" w14:textId="61130269" w:rsidR="00862933" w:rsidRPr="00AD7416" w:rsidRDefault="00F025DA" w:rsidP="008C32D2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removes parallax error and gives a more accurate volume</w:t>
            </w:r>
          </w:p>
        </w:tc>
      </w:tr>
      <w:tr w:rsidR="00F04385" w:rsidRPr="00AD7416" w14:paraId="58222652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7861F076" w14:textId="4242DDF3" w:rsidR="00F04385" w:rsidRPr="00AD7416" w:rsidRDefault="00F04385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universal indicator to get a colour change</w:t>
            </w:r>
          </w:p>
        </w:tc>
        <w:tc>
          <w:tcPr>
            <w:tcW w:w="3476" w:type="dxa"/>
            <w:vAlign w:val="center"/>
          </w:tcPr>
          <w:p w14:paraId="6052E85C" w14:textId="42521D1A" w:rsidR="00F04385" w:rsidRPr="00AD7416" w:rsidRDefault="00F04385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phenolphthalein/methyl orange</w:t>
            </w:r>
          </w:p>
        </w:tc>
        <w:tc>
          <w:tcPr>
            <w:tcW w:w="3067" w:type="dxa"/>
            <w:vAlign w:val="center"/>
          </w:tcPr>
          <w:p w14:paraId="67A8F73F" w14:textId="2BB3F384" w:rsidR="00F04385" w:rsidRPr="00AD7416" w:rsidRDefault="00C15922" w:rsidP="008C32D2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gives a sharp colour change rather than gradual or range colours</w:t>
            </w:r>
          </w:p>
        </w:tc>
      </w:tr>
      <w:tr w:rsidR="00862933" w:rsidRPr="00AD7416" w14:paraId="44CCB62C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67BCE0C3" w14:textId="07CE217D" w:rsidR="00862933" w:rsidRPr="00AD7416" w:rsidRDefault="005839B3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sodium hydroxide until you get a colour change</w:t>
            </w:r>
          </w:p>
        </w:tc>
        <w:tc>
          <w:tcPr>
            <w:tcW w:w="3476" w:type="dxa"/>
            <w:vAlign w:val="center"/>
          </w:tcPr>
          <w:p w14:paraId="5407814A" w14:textId="100848C3" w:rsidR="00862933" w:rsidRPr="00AD7416" w:rsidRDefault="00E364F0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color w:val="404040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Add sodium hydroxide dropwise until you get a permanent colour change</w:t>
            </w:r>
          </w:p>
        </w:tc>
        <w:tc>
          <w:tcPr>
            <w:tcW w:w="3067" w:type="dxa"/>
            <w:vAlign w:val="center"/>
          </w:tcPr>
          <w:p w14:paraId="3EF7D5AA" w14:textId="3612E049" w:rsidR="00862933" w:rsidRPr="00AD7416" w:rsidRDefault="003B440C" w:rsidP="009F52C2">
            <w:pPr>
              <w:pStyle w:val="RSCBasictext"/>
              <w:ind w:left="0" w:firstLine="0"/>
            </w:pPr>
            <w:r w:rsidRPr="00AD7416">
              <w:t>It gives you a more accurate volume</w:t>
            </w:r>
          </w:p>
        </w:tc>
      </w:tr>
      <w:tr w:rsidR="00862933" w:rsidRPr="00AD7416" w14:paraId="2D83F2F4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6AF4B919" w14:textId="1536C2F2" w:rsidR="00862933" w:rsidRPr="00AD7416" w:rsidRDefault="003B7E8C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Read the amount in the burette</w:t>
            </w:r>
          </w:p>
        </w:tc>
        <w:tc>
          <w:tcPr>
            <w:tcW w:w="3476" w:type="dxa"/>
            <w:vAlign w:val="center"/>
          </w:tcPr>
          <w:p w14:paraId="496DD377" w14:textId="6A2709C6" w:rsidR="00862933" w:rsidRPr="00AD7416" w:rsidRDefault="00030524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color w:val="404040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Read the final volume on the burette at eye level or to the bottom of the meniscus</w:t>
            </w:r>
          </w:p>
        </w:tc>
        <w:tc>
          <w:tcPr>
            <w:tcW w:w="3067" w:type="dxa"/>
            <w:vAlign w:val="center"/>
          </w:tcPr>
          <w:p w14:paraId="15565EEA" w14:textId="2041F311" w:rsidR="00862933" w:rsidRPr="00AD7416" w:rsidRDefault="002B597F" w:rsidP="009F52C2">
            <w:pPr>
              <w:tabs>
                <w:tab w:val="left" w:pos="6128"/>
              </w:tabs>
              <w:spacing w:after="0" w:line="259" w:lineRule="auto"/>
              <w:ind w:left="0" w:right="284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removes parallax error and gives a more accurate volume</w:t>
            </w:r>
          </w:p>
        </w:tc>
      </w:tr>
      <w:tr w:rsidR="00862933" w:rsidRPr="00AD7416" w14:paraId="4580BE10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76DDB2A1" w14:textId="1F8C8715" w:rsidR="00862933" w:rsidRPr="00AD7416" w:rsidRDefault="000E143D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Record the amount of sodium hydroxide added</w:t>
            </w:r>
          </w:p>
        </w:tc>
        <w:tc>
          <w:tcPr>
            <w:tcW w:w="3476" w:type="dxa"/>
            <w:vAlign w:val="center"/>
          </w:tcPr>
          <w:p w14:paraId="321AB93C" w14:textId="75F567AD" w:rsidR="00862933" w:rsidRPr="00AD7416" w:rsidRDefault="000F4A36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color w:val="404040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Record the volume of sodium hydroxide added</w:t>
            </w:r>
          </w:p>
        </w:tc>
        <w:tc>
          <w:tcPr>
            <w:tcW w:w="3067" w:type="dxa"/>
            <w:vAlign w:val="center"/>
          </w:tcPr>
          <w:p w14:paraId="4640F841" w14:textId="0D624D7A" w:rsidR="00862933" w:rsidRPr="00AD7416" w:rsidRDefault="00797248" w:rsidP="009F52C2">
            <w:pPr>
              <w:tabs>
                <w:tab w:val="left" w:pos="6128"/>
              </w:tabs>
              <w:spacing w:after="0" w:line="259" w:lineRule="auto"/>
              <w:ind w:left="0" w:right="284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Liquids are measured by volume</w:t>
            </w:r>
          </w:p>
        </w:tc>
      </w:tr>
      <w:tr w:rsidR="00796BF2" w:rsidRPr="00AD7416" w14:paraId="3E9415ED" w14:textId="77777777" w:rsidTr="00F30B94">
        <w:trPr>
          <w:trHeight w:val="482"/>
          <w:jc w:val="center"/>
        </w:trPr>
        <w:tc>
          <w:tcPr>
            <w:tcW w:w="2473" w:type="dxa"/>
          </w:tcPr>
          <w:p w14:paraId="39FF455B" w14:textId="5EE6700D" w:rsidR="00796BF2" w:rsidRPr="00AD7416" w:rsidRDefault="00796BF2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Repeat the experiment</w:t>
            </w:r>
          </w:p>
        </w:tc>
        <w:tc>
          <w:tcPr>
            <w:tcW w:w="3476" w:type="dxa"/>
            <w:vAlign w:val="center"/>
          </w:tcPr>
          <w:p w14:paraId="11148A28" w14:textId="7D5D0C74" w:rsidR="00796BF2" w:rsidRPr="00AD7416" w:rsidRDefault="00A07FB6" w:rsidP="008139B3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color w:val="404040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Repeat until you have concordant results</w:t>
            </w:r>
          </w:p>
        </w:tc>
        <w:tc>
          <w:tcPr>
            <w:tcW w:w="3067" w:type="dxa"/>
            <w:vAlign w:val="center"/>
          </w:tcPr>
          <w:p w14:paraId="5C04C8B1" w14:textId="6EA339F4" w:rsidR="00796BF2" w:rsidRPr="00AD7416" w:rsidRDefault="000C0F77" w:rsidP="009F52C2">
            <w:pPr>
              <w:tabs>
                <w:tab w:val="left" w:pos="6128"/>
              </w:tabs>
              <w:spacing w:after="0" w:line="259" w:lineRule="auto"/>
              <w:ind w:left="0" w:right="284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It allows you to identify anomalous results and calculate a mean</w:t>
            </w:r>
          </w:p>
        </w:tc>
      </w:tr>
      <w:tr w:rsidR="00BD2602" w:rsidRPr="00AD7416" w14:paraId="6222B390" w14:textId="77777777" w:rsidTr="00F30B94">
        <w:trPr>
          <w:trHeight w:val="482"/>
          <w:jc w:val="center"/>
        </w:trPr>
        <w:tc>
          <w:tcPr>
            <w:tcW w:w="2473" w:type="dxa"/>
            <w:vAlign w:val="center"/>
          </w:tcPr>
          <w:p w14:paraId="00903BFD" w14:textId="4DA7F4C8" w:rsidR="00BD2602" w:rsidRPr="00AD7416" w:rsidRDefault="00BD2602" w:rsidP="00BD2602">
            <w:pPr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Work out the amount added</w:t>
            </w:r>
          </w:p>
        </w:tc>
        <w:tc>
          <w:tcPr>
            <w:tcW w:w="3476" w:type="dxa"/>
            <w:vAlign w:val="center"/>
          </w:tcPr>
          <w:p w14:paraId="385A0532" w14:textId="510B53F3" w:rsidR="00BD2602" w:rsidRPr="00AD7416" w:rsidRDefault="00BD2602" w:rsidP="00BD2602">
            <w:pPr>
              <w:tabs>
                <w:tab w:val="left" w:pos="1593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color w:val="404040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Calculate the volume added by subtracting the initial volume from the final volume</w:t>
            </w:r>
          </w:p>
        </w:tc>
        <w:tc>
          <w:tcPr>
            <w:tcW w:w="3067" w:type="dxa"/>
          </w:tcPr>
          <w:p w14:paraId="7086100D" w14:textId="397D7F78" w:rsidR="00BD2602" w:rsidRPr="00AD7416" w:rsidRDefault="00BD2602" w:rsidP="009F52C2">
            <w:pPr>
              <w:tabs>
                <w:tab w:val="left" w:pos="6128"/>
              </w:tabs>
              <w:spacing w:after="0" w:line="259" w:lineRule="auto"/>
              <w:ind w:left="0" w:right="284" w:firstLine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AD7416">
              <w:rPr>
                <w:rFonts w:ascii="Century Gothic" w:hAnsi="Century Gothic"/>
                <w:sz w:val="22"/>
                <w:szCs w:val="22"/>
              </w:rPr>
              <w:t>Shows your understanding of the increasing scale on the burette</w:t>
            </w:r>
          </w:p>
        </w:tc>
      </w:tr>
    </w:tbl>
    <w:p w14:paraId="7F3EC2A4" w14:textId="77777777" w:rsidR="00D00AB5" w:rsidRPr="00CD5E3C" w:rsidRDefault="00D00AB5" w:rsidP="00CD5E3C">
      <w:pPr>
        <w:pStyle w:val="RSCBasictext"/>
        <w:rPr>
          <w:lang w:eastAsia="en-GB"/>
        </w:rPr>
      </w:pPr>
    </w:p>
    <w:sectPr w:rsidR="00D00AB5" w:rsidRPr="00CD5E3C" w:rsidSect="00231C1C">
      <w:headerReference w:type="default" r:id="rId11"/>
      <w:footerReference w:type="default" r:id="rId1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7CBF" w14:textId="77777777" w:rsidR="00AD4E78" w:rsidRDefault="00AD4E78" w:rsidP="008A1B0B">
      <w:pPr>
        <w:spacing w:after="0" w:line="240" w:lineRule="auto"/>
      </w:pPr>
      <w:r>
        <w:separator/>
      </w:r>
    </w:p>
  </w:endnote>
  <w:endnote w:type="continuationSeparator" w:id="0">
    <w:p w14:paraId="7250FC72" w14:textId="77777777" w:rsidR="00AD4E78" w:rsidRDefault="00AD4E78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4AA195FB" w:rsidR="00231C1C" w:rsidRPr="00B226A7" w:rsidRDefault="00B226A7" w:rsidP="002F2A90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6A1D0B">
      <w:rPr>
        <w:rFonts w:ascii="Century Gothic" w:hAnsi="Century Gothic"/>
        <w:sz w:val="16"/>
        <w:szCs w:val="16"/>
      </w:rPr>
      <w:t xml:space="preserve">6 </w:t>
    </w:r>
    <w:r w:rsidRPr="001C6249">
      <w:rPr>
        <w:rFonts w:ascii="Century Gothic" w:hAnsi="Century Gothic"/>
        <w:sz w:val="16"/>
        <w:szCs w:val="16"/>
      </w:rPr>
      <w:t>Royal Society of Chemistr</w:t>
    </w:r>
    <w:r w:rsidR="00362CD9">
      <w:rPr>
        <w:rFonts w:ascii="Century Gothic" w:hAnsi="Century Gothic"/>
        <w:sz w:val="16"/>
        <w:szCs w:val="16"/>
      </w:rPr>
      <w:t>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FA0E8" w14:textId="77777777" w:rsidR="00AD4E78" w:rsidRDefault="00AD4E78" w:rsidP="008A1B0B">
      <w:pPr>
        <w:spacing w:after="0" w:line="240" w:lineRule="auto"/>
      </w:pPr>
      <w:r>
        <w:separator/>
      </w:r>
    </w:p>
  </w:footnote>
  <w:footnote w:type="continuationSeparator" w:id="0">
    <w:p w14:paraId="50AC6E56" w14:textId="77777777" w:rsidR="00AD4E78" w:rsidRDefault="00AD4E78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624CCEDB" w:rsidR="008A1B0B" w:rsidRDefault="00FF76A3" w:rsidP="008D7A53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DF7826">
      <w:rPr>
        <w:rFonts w:ascii="Century Gothic" w:hAnsi="Century Gothic"/>
        <w:b/>
        <w:bCs/>
        <w:noProof/>
        <w:color w:val="991E66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FB73F" wp14:editId="37A8854B">
          <wp:simplePos x="0" y="0"/>
          <wp:positionH relativeFrom="column">
            <wp:posOffset>-927101</wp:posOffset>
          </wp:positionH>
          <wp:positionV relativeFrom="paragraph">
            <wp:posOffset>-267335</wp:posOffset>
          </wp:positionV>
          <wp:extent cx="7569919" cy="1071245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0222" cy="1072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826">
      <w:rPr>
        <w:rFonts w:ascii="Century Gothic" w:hAnsi="Century Gothic"/>
        <w:b/>
        <w:bCs/>
        <w:color w:val="991E66"/>
        <w:sz w:val="30"/>
        <w:szCs w:val="30"/>
      </w:rPr>
      <w:t>Education in Chemistry</w:t>
    </w:r>
    <w:r w:rsidR="00557BF2" w:rsidRPr="00DF7826">
      <w:rPr>
        <w:rFonts w:ascii="Century Gothic" w:hAnsi="Century Gothic"/>
        <w:b/>
        <w:bCs/>
        <w:color w:val="FF0000"/>
        <w:sz w:val="24"/>
        <w:szCs w:val="24"/>
      </w:rPr>
      <w:t xml:space="preserve"> </w:t>
    </w:r>
  </w:p>
  <w:p w14:paraId="014B122C" w14:textId="0E446176" w:rsidR="00557BF2" w:rsidRPr="00557BF2" w:rsidRDefault="00DC0D9C" w:rsidP="00FF76A3">
    <w:pPr>
      <w:spacing w:after="86"/>
      <w:ind w:right="-850"/>
      <w:jc w:val="right"/>
      <w:rPr>
        <w:rFonts w:ascii="Century Gothic" w:hAnsi="Century Gothic"/>
        <w:b/>
        <w:bCs/>
        <w:color w:val="004976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8B34F9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557BF2" w:rsidRPr="00A56431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r w:rsidR="0051570C" w:rsidRPr="0051570C">
      <w:rPr>
        <w:rFonts w:ascii="Century Gothic" w:hAnsi="Century Gothic"/>
        <w:b/>
        <w:bCs/>
        <w:color w:val="991E66" w:themeColor="accent1"/>
      </w:rPr>
      <w:t>rsc.li/3UhHUhQ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72F4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71290E"/>
    <w:multiLevelType w:val="hybridMultilevel"/>
    <w:tmpl w:val="76B44E72"/>
    <w:lvl w:ilvl="0" w:tplc="8E40D1DC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4976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9C80676"/>
    <w:lvl w:ilvl="0" w:tplc="2E909E8C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991E6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8EF02762"/>
    <w:lvl w:ilvl="0" w:tplc="BEE61F6A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0A6AD2C4"/>
    <w:lvl w:ilvl="0" w:tplc="44E8C560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497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D2538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127D7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10684F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605598">
    <w:abstractNumId w:val="17"/>
  </w:num>
  <w:num w:numId="2" w16cid:durableId="46608390">
    <w:abstractNumId w:val="10"/>
  </w:num>
  <w:num w:numId="3" w16cid:durableId="767046158">
    <w:abstractNumId w:val="5"/>
  </w:num>
  <w:num w:numId="4" w16cid:durableId="1754862014">
    <w:abstractNumId w:val="8"/>
  </w:num>
  <w:num w:numId="5" w16cid:durableId="522865220">
    <w:abstractNumId w:val="14"/>
  </w:num>
  <w:num w:numId="6" w16cid:durableId="1092093063">
    <w:abstractNumId w:val="16"/>
  </w:num>
  <w:num w:numId="7" w16cid:durableId="1042751722">
    <w:abstractNumId w:val="1"/>
  </w:num>
  <w:num w:numId="8" w16cid:durableId="339281078">
    <w:abstractNumId w:val="4"/>
  </w:num>
  <w:num w:numId="9" w16cid:durableId="166483661">
    <w:abstractNumId w:val="3"/>
  </w:num>
  <w:num w:numId="10" w16cid:durableId="739593575">
    <w:abstractNumId w:val="2"/>
  </w:num>
  <w:num w:numId="11" w16cid:durableId="1035690940">
    <w:abstractNumId w:val="11"/>
  </w:num>
  <w:num w:numId="12" w16cid:durableId="1470199975">
    <w:abstractNumId w:val="2"/>
    <w:lvlOverride w:ilvl="0">
      <w:startOverride w:val="1"/>
    </w:lvlOverride>
  </w:num>
  <w:num w:numId="13" w16cid:durableId="1479612613">
    <w:abstractNumId w:val="13"/>
  </w:num>
  <w:num w:numId="14" w16cid:durableId="1674912029">
    <w:abstractNumId w:val="12"/>
  </w:num>
  <w:num w:numId="15" w16cid:durableId="2099716115">
    <w:abstractNumId w:val="9"/>
  </w:num>
  <w:num w:numId="16" w16cid:durableId="649024404">
    <w:abstractNumId w:val="0"/>
  </w:num>
  <w:num w:numId="17" w16cid:durableId="1550605262">
    <w:abstractNumId w:val="6"/>
  </w:num>
  <w:num w:numId="18" w16cid:durableId="181480924">
    <w:abstractNumId w:val="7"/>
  </w:num>
  <w:num w:numId="19" w16cid:durableId="2003771580">
    <w:abstractNumId w:val="3"/>
    <w:lvlOverride w:ilvl="0">
      <w:startOverride w:val="1"/>
    </w:lvlOverride>
  </w:num>
  <w:num w:numId="20" w16cid:durableId="21392973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22B65"/>
    <w:rsid w:val="00030524"/>
    <w:rsid w:val="00046615"/>
    <w:rsid w:val="0005730B"/>
    <w:rsid w:val="00087C7B"/>
    <w:rsid w:val="000B0210"/>
    <w:rsid w:val="000B0FE6"/>
    <w:rsid w:val="000C0F77"/>
    <w:rsid w:val="000E143D"/>
    <w:rsid w:val="000E6E48"/>
    <w:rsid w:val="000F4A36"/>
    <w:rsid w:val="00146FCD"/>
    <w:rsid w:val="00147637"/>
    <w:rsid w:val="0015695D"/>
    <w:rsid w:val="00167A38"/>
    <w:rsid w:val="00170732"/>
    <w:rsid w:val="00180C62"/>
    <w:rsid w:val="001825F7"/>
    <w:rsid w:val="00193A00"/>
    <w:rsid w:val="00194F7D"/>
    <w:rsid w:val="001A278F"/>
    <w:rsid w:val="001D1067"/>
    <w:rsid w:val="002304A7"/>
    <w:rsid w:val="00231C1C"/>
    <w:rsid w:val="002549BE"/>
    <w:rsid w:val="00287671"/>
    <w:rsid w:val="002A3C79"/>
    <w:rsid w:val="002B06C9"/>
    <w:rsid w:val="002B597F"/>
    <w:rsid w:val="002C2223"/>
    <w:rsid w:val="002D34BA"/>
    <w:rsid w:val="002E47CA"/>
    <w:rsid w:val="002F2A90"/>
    <w:rsid w:val="002F35A3"/>
    <w:rsid w:val="003059AB"/>
    <w:rsid w:val="0033220A"/>
    <w:rsid w:val="00345334"/>
    <w:rsid w:val="00345DC6"/>
    <w:rsid w:val="00362CD9"/>
    <w:rsid w:val="00367E30"/>
    <w:rsid w:val="003716B9"/>
    <w:rsid w:val="003718D5"/>
    <w:rsid w:val="0038201B"/>
    <w:rsid w:val="00383A44"/>
    <w:rsid w:val="003A0122"/>
    <w:rsid w:val="003B440C"/>
    <w:rsid w:val="003B7300"/>
    <w:rsid w:val="003B7E8C"/>
    <w:rsid w:val="003C643A"/>
    <w:rsid w:val="003D6657"/>
    <w:rsid w:val="003D790F"/>
    <w:rsid w:val="0041333A"/>
    <w:rsid w:val="0044650F"/>
    <w:rsid w:val="0044784F"/>
    <w:rsid w:val="0046389A"/>
    <w:rsid w:val="00485CEA"/>
    <w:rsid w:val="004A5A0C"/>
    <w:rsid w:val="00512B6D"/>
    <w:rsid w:val="0051570C"/>
    <w:rsid w:val="00516F80"/>
    <w:rsid w:val="0052289F"/>
    <w:rsid w:val="00547323"/>
    <w:rsid w:val="00557BF2"/>
    <w:rsid w:val="005839B3"/>
    <w:rsid w:val="005B4AFE"/>
    <w:rsid w:val="005F286E"/>
    <w:rsid w:val="0061154B"/>
    <w:rsid w:val="00623DCE"/>
    <w:rsid w:val="006608F8"/>
    <w:rsid w:val="006820BE"/>
    <w:rsid w:val="006A1D0B"/>
    <w:rsid w:val="006C63F1"/>
    <w:rsid w:val="006D790E"/>
    <w:rsid w:val="006E13FB"/>
    <w:rsid w:val="007042E5"/>
    <w:rsid w:val="007124EB"/>
    <w:rsid w:val="007252FB"/>
    <w:rsid w:val="00741F2B"/>
    <w:rsid w:val="00747FE6"/>
    <w:rsid w:val="0075697C"/>
    <w:rsid w:val="0077600A"/>
    <w:rsid w:val="0079210B"/>
    <w:rsid w:val="007940FC"/>
    <w:rsid w:val="00796BF2"/>
    <w:rsid w:val="00797248"/>
    <w:rsid w:val="007A08F5"/>
    <w:rsid w:val="007B56F2"/>
    <w:rsid w:val="007E08AF"/>
    <w:rsid w:val="008062B7"/>
    <w:rsid w:val="00806D6F"/>
    <w:rsid w:val="00811C0C"/>
    <w:rsid w:val="008139B3"/>
    <w:rsid w:val="00815EDD"/>
    <w:rsid w:val="0081721A"/>
    <w:rsid w:val="00835B9C"/>
    <w:rsid w:val="00862463"/>
    <w:rsid w:val="00862933"/>
    <w:rsid w:val="0089187A"/>
    <w:rsid w:val="00893F3D"/>
    <w:rsid w:val="008978E1"/>
    <w:rsid w:val="008A1B0B"/>
    <w:rsid w:val="008A57C5"/>
    <w:rsid w:val="008B34F9"/>
    <w:rsid w:val="008B54F1"/>
    <w:rsid w:val="008C32D2"/>
    <w:rsid w:val="008D7A53"/>
    <w:rsid w:val="008F4533"/>
    <w:rsid w:val="00905E09"/>
    <w:rsid w:val="0091775D"/>
    <w:rsid w:val="009272D0"/>
    <w:rsid w:val="009948AB"/>
    <w:rsid w:val="009A07FA"/>
    <w:rsid w:val="009A08B4"/>
    <w:rsid w:val="009E6901"/>
    <w:rsid w:val="009F52C2"/>
    <w:rsid w:val="00A03B4F"/>
    <w:rsid w:val="00A07FB6"/>
    <w:rsid w:val="00A13442"/>
    <w:rsid w:val="00A5348B"/>
    <w:rsid w:val="00A5448B"/>
    <w:rsid w:val="00A571EB"/>
    <w:rsid w:val="00A5740C"/>
    <w:rsid w:val="00A725C3"/>
    <w:rsid w:val="00AA2485"/>
    <w:rsid w:val="00AD4E78"/>
    <w:rsid w:val="00AD7416"/>
    <w:rsid w:val="00B117E5"/>
    <w:rsid w:val="00B226A7"/>
    <w:rsid w:val="00B30A6E"/>
    <w:rsid w:val="00B57624"/>
    <w:rsid w:val="00B67A03"/>
    <w:rsid w:val="00B71E66"/>
    <w:rsid w:val="00BA3729"/>
    <w:rsid w:val="00BD2602"/>
    <w:rsid w:val="00BE1EBA"/>
    <w:rsid w:val="00C040F3"/>
    <w:rsid w:val="00C15922"/>
    <w:rsid w:val="00C1703F"/>
    <w:rsid w:val="00C43346"/>
    <w:rsid w:val="00CD3159"/>
    <w:rsid w:val="00CD3907"/>
    <w:rsid w:val="00CD5E3C"/>
    <w:rsid w:val="00CF35F2"/>
    <w:rsid w:val="00CF6E3E"/>
    <w:rsid w:val="00D00AB5"/>
    <w:rsid w:val="00D17CC0"/>
    <w:rsid w:val="00D45D99"/>
    <w:rsid w:val="00D60D30"/>
    <w:rsid w:val="00D91FB0"/>
    <w:rsid w:val="00DC0D9C"/>
    <w:rsid w:val="00DC33F7"/>
    <w:rsid w:val="00DD432E"/>
    <w:rsid w:val="00DF7826"/>
    <w:rsid w:val="00E364F0"/>
    <w:rsid w:val="00E4272B"/>
    <w:rsid w:val="00E95DE4"/>
    <w:rsid w:val="00EC7EFF"/>
    <w:rsid w:val="00F025DA"/>
    <w:rsid w:val="00F04385"/>
    <w:rsid w:val="00F30B94"/>
    <w:rsid w:val="00F34798"/>
    <w:rsid w:val="00F34CDD"/>
    <w:rsid w:val="00F80ECB"/>
    <w:rsid w:val="00FB237A"/>
    <w:rsid w:val="00FB754E"/>
    <w:rsid w:val="00FC3B24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B30A6E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8978E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991E66"/>
      <w:sz w:val="36"/>
      <w:szCs w:val="36"/>
    </w:rPr>
  </w:style>
  <w:style w:type="paragraph" w:customStyle="1" w:styleId="RSCH2">
    <w:name w:val="RSC H2"/>
    <w:basedOn w:val="Normal"/>
    <w:qFormat/>
    <w:rsid w:val="008978E1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991E66"/>
      <w:sz w:val="28"/>
      <w:szCs w:val="22"/>
    </w:rPr>
  </w:style>
  <w:style w:type="paragraph" w:customStyle="1" w:styleId="RSCH3">
    <w:name w:val="RSC H3"/>
    <w:basedOn w:val="RSCBasictext"/>
    <w:qFormat/>
    <w:rsid w:val="008978E1"/>
    <w:pPr>
      <w:spacing w:before="300"/>
    </w:pPr>
    <w:rPr>
      <w:b/>
      <w:bCs/>
      <w:color w:val="991E66"/>
    </w:rPr>
  </w:style>
  <w:style w:type="paragraph" w:customStyle="1" w:styleId="RSCLearningobjectives">
    <w:name w:val="RSC Learning objectives"/>
    <w:basedOn w:val="Normal"/>
    <w:qFormat/>
    <w:rsid w:val="00B30A6E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A13442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8978E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991E66"/>
      <w:sz w:val="18"/>
      <w:szCs w:val="22"/>
    </w:rPr>
  </w:style>
  <w:style w:type="paragraph" w:customStyle="1" w:styleId="RSCnumberedlist">
    <w:name w:val="RSC numbered list"/>
    <w:basedOn w:val="Normal"/>
    <w:qFormat/>
    <w:rsid w:val="00B30A6E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numbering" w:customStyle="1" w:styleId="CurrentList4">
    <w:name w:val="Current List4"/>
    <w:uiPriority w:val="99"/>
    <w:rsid w:val="00B30A6E"/>
    <w:pPr>
      <w:numPr>
        <w:numId w:val="16"/>
      </w:numPr>
    </w:pPr>
  </w:style>
  <w:style w:type="numbering" w:customStyle="1" w:styleId="CurrentList5">
    <w:name w:val="Current List5"/>
    <w:uiPriority w:val="99"/>
    <w:rsid w:val="00B30A6E"/>
    <w:pPr>
      <w:numPr>
        <w:numId w:val="17"/>
      </w:numPr>
    </w:pPr>
  </w:style>
  <w:style w:type="numbering" w:customStyle="1" w:styleId="CurrentList6">
    <w:name w:val="Current List6"/>
    <w:uiPriority w:val="99"/>
    <w:rsid w:val="00B30A6E"/>
    <w:pPr>
      <w:numPr>
        <w:numId w:val="18"/>
      </w:numPr>
    </w:pPr>
  </w:style>
  <w:style w:type="paragraph" w:customStyle="1" w:styleId="URL">
    <w:name w:val="URL"/>
    <w:basedOn w:val="RSCH3"/>
    <w:qFormat/>
    <w:rsid w:val="005F286E"/>
    <w:pPr>
      <w:spacing w:before="0" w:after="504"/>
    </w:pPr>
  </w:style>
  <w:style w:type="paragraph" w:customStyle="1" w:styleId="RSCURL">
    <w:name w:val="RSC URL"/>
    <w:basedOn w:val="Normal"/>
    <w:qFormat/>
    <w:rsid w:val="008978E1"/>
    <w:pPr>
      <w:spacing w:after="86"/>
      <w:ind w:right="-850"/>
      <w:jc w:val="left"/>
    </w:pPr>
    <w:rPr>
      <w:rFonts w:ascii="Century Gothic" w:hAnsi="Century Gothic"/>
      <w:b/>
      <w:bCs/>
      <w:color w:val="991E66"/>
      <w:sz w:val="18"/>
      <w:szCs w:val="18"/>
    </w:rPr>
  </w:style>
  <w:style w:type="paragraph" w:customStyle="1" w:styleId="RSCH4">
    <w:name w:val="RSC H4"/>
    <w:basedOn w:val="RSCH2"/>
    <w:qFormat/>
    <w:rsid w:val="00FC3B24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93F3D"/>
    <w:pPr>
      <w:jc w:val="center"/>
    </w:pPr>
  </w:style>
  <w:style w:type="table" w:styleId="TableGrid">
    <w:name w:val="Table Grid"/>
    <w:basedOn w:val="TableNormal"/>
    <w:uiPriority w:val="59"/>
    <w:rsid w:val="00D00AB5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7">
    <w:name w:val="Current List7"/>
    <w:uiPriority w:val="99"/>
    <w:rsid w:val="00A13442"/>
    <w:pPr>
      <w:numPr>
        <w:numId w:val="20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05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EiC plu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91E66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50E5BBFD9C134E90D837BE78A84D2D" ma:contentTypeVersion="21" ma:contentTypeDescription="Create a new document." ma:contentTypeScope="" ma:versionID="6c4c6876dafc7c4c0f0477a2bcc1e2db">
  <xsd:schema xmlns:xsd="http://www.w3.org/2001/XMLSchema" xmlns:xs="http://www.w3.org/2001/XMLSchema" xmlns:p="http://schemas.microsoft.com/office/2006/metadata/properties" xmlns:ns2="a8aafb22-0806-4593-a679-c2b45eeb1cab" xmlns:ns3="44303df1-f625-401d-870a-accd1b2b7593" targetNamespace="http://schemas.microsoft.com/office/2006/metadata/properties" ma:root="true" ma:fieldsID="8fbc746b90614c33702172b8c50faa5a" ns2:_="" ns3:_="">
    <xsd:import namespace="a8aafb22-0806-4593-a679-c2b45eeb1cab"/>
    <xsd:import namespace="44303df1-f625-401d-870a-accd1b2b7593"/>
    <xsd:element name="properties">
      <xsd:complexType>
        <xsd:sequence>
          <xsd:element name="documentManagement">
            <xsd:complexType>
              <xsd:all>
                <xsd:element ref="ns2:n7b504db7a1f4121af62d7dde2f43036" minOccurs="0"/>
                <xsd:element ref="ns3:TaxCatchAll" minOccurs="0"/>
                <xsd:element ref="ns2:b569b86bd8fd46f693512e8bddacb3f6" minOccurs="0"/>
                <xsd:element ref="ns2:b9de0c3256d748e284af5b40895c1451" minOccurs="0"/>
                <xsd:element ref="ns2:i10d55677a0f46eeb3909f8b19131c80" minOccurs="0"/>
                <xsd:element ref="ns2:d5ec952c3671439b9c1b97dc2ac521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fb22-0806-4593-a679-c2b45eeb1cab" elementFormDefault="qualified">
    <xsd:import namespace="http://schemas.microsoft.com/office/2006/documentManagement/types"/>
    <xsd:import namespace="http://schemas.microsoft.com/office/infopath/2007/PartnerControls"/>
    <xsd:element name="n7b504db7a1f4121af62d7dde2f43036" ma:index="9" ma:taxonomy="true" ma:internalName="n7b504db7a1f4121af62d7dde2f43036" ma:taxonomyFieldName="Directorate_x002f_Team_x002f_Function" ma:displayName="Directorate/Team/Function" ma:default="" ma:fieldId="{77b504db-7a1f-4121-af62-d7dde2f43036}" ma:taxonomyMulti="true" ma:sspId="acd698d5-2c6c-40f3-87af-cb5c6c865f62" ma:termSetId="6f21a7af-7e80-4763-b0f3-f88080127d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569b86bd8fd46f693512e8bddacb3f6" ma:index="12" ma:taxonomy="true" ma:internalName="b569b86bd8fd46f693512e8bddacb3f6" ma:taxonomyFieldName="Document_x0020_Type" ma:displayName="Document Type" ma:default="" ma:fieldId="{b569b86b-d8fd-46f6-9351-2e8bddacb3f6}" ma:taxonomyMulti="true" ma:sspId="acd698d5-2c6c-40f3-87af-cb5c6c865f62" ma:termSetId="0e861dca-3791-4471-a8b5-1ac06fdd1e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de0c3256d748e284af5b40895c1451" ma:index="14" ma:taxonomy="true" ma:internalName="b9de0c3256d748e284af5b40895c1451" ma:taxonomyFieldName="Platform_x002f_Software" ma:displayName="Platform/Software" ma:default="" ma:fieldId="{b9de0c32-56d7-48e2-84af-5b40895c1451}" ma:taxonomyMulti="true" ma:sspId="acd698d5-2c6c-40f3-87af-cb5c6c865f62" ma:termSetId="5ec93098-1380-4d9d-a407-4f2fa65903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0d55677a0f46eeb3909f8b19131c80" ma:index="16" ma:taxonomy="true" ma:internalName="i10d55677a0f46eeb3909f8b19131c80" ma:taxonomyFieldName="Project_x002f_Product" ma:displayName="Project/Product" ma:default="" ma:fieldId="{210d5567-7a0f-46ee-b390-9f8b19131c80}" ma:taxonomyMulti="true" ma:sspId="acd698d5-2c6c-40f3-87af-cb5c6c865f62" ma:termSetId="b5afdfc8-a30d-4e9f-963f-82651d355f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ec952c3671439b9c1b97dc2ac5212f" ma:index="18" ma:taxonomy="true" ma:internalName="d5ec952c3671439b9c1b97dc2ac5212f" ma:taxonomyFieldName="Watchword" ma:displayName="Watchword" ma:default="" ma:fieldId="{d5ec952c-3671-439b-9c1b-97dc2ac5212f}" ma:taxonomyMulti="true" ma:sspId="acd698d5-2c6c-40f3-87af-cb5c6c865f62" ma:termSetId="1f8212ee-fa5e-40cf-a106-3e9510d6c6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03df1-f625-401d-870a-accd1b2b759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5519040-3cf5-4337-a4d6-3c4812ac86d8}" ma:internalName="TaxCatchAll" ma:showField="CatchAllData" ma:web="44303df1-f625-401d-870a-accd1b2b75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aafb22-0806-4593-a679-c2b45eeb1cab">
      <Terms xmlns="http://schemas.microsoft.com/office/infopath/2007/PartnerControls"/>
    </lcf76f155ced4ddcb4097134ff3c332f>
    <b9de0c3256d748e284af5b40895c1451 xmlns="a8aafb22-0806-4593-a679-c2b45eeb1c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d2840a79-f070-44ee-81f4-348f0646ea6c</TermId>
        </TermInfo>
      </Terms>
    </b9de0c3256d748e284af5b40895c1451>
    <n7b504db7a1f4121af62d7dde2f43036 xmlns="a8aafb22-0806-4593-a679-c2b45eeb1c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6f01d4b6-f8a8-4b3c-8e47-a0b2d31f46b9</TermId>
        </TermInfo>
      </Terms>
    </n7b504db7a1f4121af62d7dde2f43036>
    <TaxCatchAll xmlns="44303df1-f625-401d-870a-accd1b2b7593">
      <Value>33</Value>
      <Value>408</Value>
      <Value>30</Value>
      <Value>1556</Value>
      <Value>7</Value>
    </TaxCatchAll>
    <b569b86bd8fd46f693512e8bddacb3f6 xmlns="a8aafb22-0806-4593-a679-c2b45eeb1c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Teacher Notes</TermName>
          <TermId xmlns="http://schemas.microsoft.com/office/infopath/2007/PartnerControls">67fd8575-7435-4a2e-84f1-851358de32e8</TermId>
        </TermInfo>
      </Terms>
    </b569b86bd8fd46f693512e8bddacb3f6>
    <i10d55677a0f46eeb3909f8b19131c80 xmlns="a8aafb22-0806-4593-a679-c2b45eeb1c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 in Chemistry</TermName>
          <TermId xmlns="http://schemas.microsoft.com/office/infopath/2007/PartnerControls">88c676fb-4f12-4aea-9455-9b66df1d1cf1</TermId>
        </TermInfo>
      </Terms>
    </i10d55677a0f46eeb3909f8b19131c80>
    <d5ec952c3671439b9c1b97dc2ac5212f xmlns="a8aafb22-0806-4593-a679-c2b45eeb1c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EiC</TermName>
          <TermId xmlns="http://schemas.microsoft.com/office/infopath/2007/PartnerControls">f9532a61-1e6d-4d08-be0d-0632b04c68a1</TermId>
        </TermInfo>
      </Terms>
    </d5ec952c3671439b9c1b97dc2ac5212f>
  </documentManagement>
</p:properties>
</file>

<file path=customXml/itemProps1.xml><?xml version="1.0" encoding="utf-8"?>
<ds:datastoreItem xmlns:ds="http://schemas.openxmlformats.org/officeDocument/2006/customXml" ds:itemID="{69BE66B3-8DBC-48F0-9EB7-2B4DF9F7F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E20DF-B870-4578-918C-10CD3225A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aafb22-0806-4593-a679-c2b45eeb1cab"/>
    <ds:schemaRef ds:uri="44303df1-f625-401d-870a-accd1b2b7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14BEB7-6C57-4F20-AD56-590B2E4485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F22B17-984B-4985-AA32-954E463A72F4}">
  <ds:schemaRefs>
    <ds:schemaRef ds:uri="http://schemas.microsoft.com/office/2006/metadata/properties"/>
    <ds:schemaRef ds:uri="http://schemas.microsoft.com/office/infopath/2007/PartnerControls"/>
    <ds:schemaRef ds:uri="a8aafb22-0806-4593-a679-c2b45eeb1cab"/>
    <ds:schemaRef ds:uri="44303df1-f625-401d-870a-accd1b2b75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1735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WABOLL and WAGOLL example sheet</dc:title>
  <dc:subject/>
  <dc:creator>Royal Society Of Chemistry</dc:creator>
  <cp:keywords>practical, titration, evaluation, skills, science, chemistry, lessons</cp:keywords>
  <dc:description>From Secure student success writing titration methods, Education in Chemistry, https://rsc.li/3UhHUhQ</dc:description>
  <cp:lastModifiedBy>Emily Kelly</cp:lastModifiedBy>
  <cp:revision>62</cp:revision>
  <dcterms:created xsi:type="dcterms:W3CDTF">2023-05-02T08:09:00Z</dcterms:created>
  <dcterms:modified xsi:type="dcterms:W3CDTF">2026-09-16T10:12:00Z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0x010100CB50E5BBFD9C134E90D837BE78A84D2D</vt:lpwstr>
  </property>
  <property fmtid="{D5CDD505-2E9C-101B-9397-08002B2CF9AE}" pid="3" name="Order">
    <vt:r8>12000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Project/Product">
    <vt:lpwstr>33;#Education in Chemistry|88c676fb-4f12-4aea-9455-9b66df1d1cf1</vt:lpwstr>
  </property>
  <property fmtid="{D5CDD505-2E9C-101B-9397-08002B2CF9AE}" pid="11" name="Document_x0020_Type">
    <vt:lpwstr>1556;#Teacher Notes|67fd8575-7435-4a2e-84f1-851358de32e8</vt:lpwstr>
  </property>
  <property fmtid="{D5CDD505-2E9C-101B-9397-08002B2CF9AE}" pid="12" name="MediaServiceImageTags">
    <vt:lpwstr/>
  </property>
  <property fmtid="{D5CDD505-2E9C-101B-9397-08002B2CF9AE}" pid="13" name="Directorate/Team/Function">
    <vt:lpwstr>7;#Education|6f01d4b6-f8a8-4b3c-8e47-a0b2d31f46b9</vt:lpwstr>
  </property>
  <property fmtid="{D5CDD505-2E9C-101B-9397-08002B2CF9AE}" pid="14" name="Platform_x002f_Software">
    <vt:lpwstr>30;#Education|d2840a79-f070-44ee-81f4-348f0646ea6c</vt:lpwstr>
  </property>
  <property fmtid="{D5CDD505-2E9C-101B-9397-08002B2CF9AE}" pid="15" name="Watchword">
    <vt:lpwstr>408;#EiC|f9532a61-1e6d-4d08-be0d-0632b04c68a1</vt:lpwstr>
  </property>
  <property fmtid="{D5CDD505-2E9C-101B-9397-08002B2CF9AE}" pid="16" name="Platform/Software">
    <vt:lpwstr>30;#Education|d2840a79-f070-44ee-81f4-348f0646ea6c</vt:lpwstr>
  </property>
  <property fmtid="{D5CDD505-2E9C-101B-9397-08002B2CF9AE}" pid="17" name="Project_x002f_Product">
    <vt:lpwstr>33;#Education in Chemistry|88c676fb-4f12-4aea-9455-9b66df1d1cf1</vt:lpwstr>
  </property>
  <property fmtid="{D5CDD505-2E9C-101B-9397-08002B2CF9AE}" pid="18" name="Directorate_x002f_Team_x002f_Function">
    <vt:lpwstr>7;#Education|6f01d4b6-f8a8-4b3c-8e47-a0b2d31f46b9</vt:lpwstr>
  </property>
  <property fmtid="{D5CDD505-2E9C-101B-9397-08002B2CF9AE}" pid="19" name="Document Type">
    <vt:lpwstr>1556;#Teacher Notes|67fd8575-7435-4a2e-84f1-851358de32e8</vt:lpwstr>
  </property>
</Properties>
</file>