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F9473" w14:textId="77777777" w:rsidR="009875B2" w:rsidRDefault="009875B2" w:rsidP="007C1813">
      <w:pPr>
        <w:pStyle w:val="Leadparagraph"/>
        <w:rPr>
          <w:rFonts w:eastAsiaTheme="majorEastAsia" w:cstheme="majorBidi"/>
          <w:bCs/>
          <w:color w:val="2C4D67"/>
          <w:sz w:val="30"/>
          <w:szCs w:val="30"/>
        </w:rPr>
      </w:pPr>
      <w:r w:rsidRPr="009875B2">
        <w:rPr>
          <w:rFonts w:eastAsiaTheme="majorEastAsia" w:cstheme="majorBidi"/>
          <w:bCs/>
          <w:color w:val="2C4D67"/>
          <w:sz w:val="30"/>
          <w:szCs w:val="30"/>
        </w:rPr>
        <w:t>Incendiary silver</w:t>
      </w:r>
    </w:p>
    <w:p w14:paraId="054408C7" w14:textId="76B5E272" w:rsidR="00D71A1A" w:rsidRPr="007C1813" w:rsidRDefault="009875B2" w:rsidP="007C1813">
      <w:pPr>
        <w:pStyle w:val="Leadparagraph"/>
      </w:pPr>
      <w:r w:rsidRPr="009875B2">
        <w:rPr>
          <w:rStyle w:val="LeadparagraphChar"/>
          <w:b/>
          <w:i/>
        </w:rPr>
        <w:t>Education in Chemistry</w:t>
      </w:r>
      <w:r>
        <w:rPr>
          <w:rStyle w:val="LeadparagraphChar"/>
          <w:b/>
        </w:rPr>
        <w:br/>
      </w:r>
      <w:r w:rsidRPr="009875B2">
        <w:rPr>
          <w:rStyle w:val="LeadparagraphChar"/>
        </w:rPr>
        <w:t>March 2017</w:t>
      </w:r>
      <w:r>
        <w:rPr>
          <w:rStyle w:val="LeadparagraphChar"/>
          <w:b/>
        </w:rPr>
        <w:br/>
      </w:r>
      <w:r w:rsidR="009328DD">
        <w:rPr>
          <w:b w:val="0"/>
        </w:rPr>
        <w:fldChar w:fldCharType="begin"/>
      </w:r>
      <w:r w:rsidR="009328DD">
        <w:rPr>
          <w:b w:val="0"/>
        </w:rPr>
        <w:instrText xml:space="preserve"> HYPERLINK "http://rsc.li/EiC217ec" </w:instrText>
      </w:r>
      <w:r w:rsidR="009328DD">
        <w:rPr>
          <w:b w:val="0"/>
        </w:rPr>
      </w:r>
      <w:r w:rsidR="009328DD">
        <w:rPr>
          <w:b w:val="0"/>
        </w:rPr>
        <w:fldChar w:fldCharType="separate"/>
      </w:r>
      <w:r w:rsidRPr="009328DD">
        <w:rPr>
          <w:rStyle w:val="Hyperlink"/>
          <w:b w:val="0"/>
        </w:rPr>
        <w:t>rsc.li/EiC217</w:t>
      </w:r>
      <w:r w:rsidR="009328DD" w:rsidRPr="009328DD">
        <w:rPr>
          <w:rStyle w:val="Hyperlink"/>
          <w:b w:val="0"/>
        </w:rPr>
        <w:t>ec</w:t>
      </w:r>
      <w:r w:rsidR="009328DD">
        <w:rPr>
          <w:b w:val="0"/>
        </w:rPr>
        <w:fldChar w:fldCharType="end"/>
      </w:r>
      <w:bookmarkStart w:id="0" w:name="_GoBack"/>
      <w:bookmarkEnd w:id="0"/>
    </w:p>
    <w:p w14:paraId="763996EC" w14:textId="77777777" w:rsidR="009875B2" w:rsidRPr="00A95138" w:rsidRDefault="009875B2" w:rsidP="009875B2">
      <w:pPr>
        <w:rPr>
          <w:b/>
        </w:rPr>
      </w:pPr>
      <w:r w:rsidRPr="009B3F1B">
        <w:t xml:space="preserve">Calcium carbide and the </w:t>
      </w:r>
      <w:proofErr w:type="spellStart"/>
      <w:r w:rsidRPr="009B3F1B">
        <w:t>ethyne</w:t>
      </w:r>
      <w:proofErr w:type="spellEnd"/>
      <w:r w:rsidRPr="009B3F1B">
        <w:t xml:space="preserve"> gas it produces on contact with water are a rich so</w:t>
      </w:r>
      <w:r>
        <w:t>urce of exciting demonstrations</w:t>
      </w:r>
      <w:r w:rsidRPr="00A95138">
        <w:t>.</w:t>
      </w:r>
    </w:p>
    <w:p w14:paraId="054408C9" w14:textId="44AD9625" w:rsidR="0075451A" w:rsidRPr="008B3961" w:rsidRDefault="009875B2" w:rsidP="008B3961">
      <w:pPr>
        <w:pStyle w:val="Heading2"/>
      </w:pPr>
      <w:r>
        <w:t>Technicians notes</w:t>
      </w:r>
    </w:p>
    <w:p w14:paraId="054408CB" w14:textId="5EA1F462" w:rsidR="0075451A" w:rsidRPr="005065D4" w:rsidRDefault="009875B2" w:rsidP="005065D4">
      <w:pPr>
        <w:pStyle w:val="Heading3"/>
      </w:pPr>
      <w:r>
        <w:t>Kit</w:t>
      </w:r>
    </w:p>
    <w:p w14:paraId="28A892BE" w14:textId="77777777" w:rsidR="009875B2" w:rsidRPr="009B3F1B" w:rsidRDefault="009875B2" w:rsidP="009875B2">
      <w:pPr>
        <w:pStyle w:val="Bullets"/>
      </w:pPr>
      <w:r w:rsidRPr="009B3F1B">
        <w:t>Calcium carbide, c.1 g (highly flammable)</w:t>
      </w:r>
      <w:r>
        <w:t xml:space="preserve"> </w:t>
      </w:r>
      <w:r w:rsidRPr="009B3F1B">
        <w:rPr>
          <w:i/>
        </w:rPr>
        <w:t>(</w:t>
      </w:r>
      <w:proofErr w:type="spellStart"/>
      <w:r w:rsidRPr="009B3F1B">
        <w:rPr>
          <w:i/>
        </w:rPr>
        <w:t>Hazcard</w:t>
      </w:r>
      <w:proofErr w:type="spellEnd"/>
      <w:r w:rsidRPr="009B3F1B">
        <w:rPr>
          <w:i/>
        </w:rPr>
        <w:t xml:space="preserve"> 19C)</w:t>
      </w:r>
    </w:p>
    <w:p w14:paraId="661240C3" w14:textId="77777777" w:rsidR="009875B2" w:rsidRPr="009B3F1B" w:rsidRDefault="009875B2" w:rsidP="009875B2">
      <w:pPr>
        <w:pStyle w:val="Bullets"/>
      </w:pPr>
      <w:r w:rsidRPr="009B3F1B">
        <w:t>Silver nitrate solution, 0.25 </w:t>
      </w:r>
      <w:proofErr w:type="spellStart"/>
      <w:r w:rsidRPr="009B3F1B">
        <w:t>mol</w:t>
      </w:r>
      <w:proofErr w:type="spellEnd"/>
      <w:r w:rsidRPr="009B3F1B">
        <w:t> dm</w:t>
      </w:r>
      <w:r w:rsidRPr="009B3F1B">
        <w:rPr>
          <w:vertAlign w:val="superscript"/>
        </w:rPr>
        <w:t>-3</w:t>
      </w:r>
      <w:r w:rsidRPr="009B3F1B">
        <w:t>, 15 cm</w:t>
      </w:r>
      <w:r w:rsidRPr="009B3F1B">
        <w:rPr>
          <w:vertAlign w:val="superscript"/>
        </w:rPr>
        <w:t>3</w:t>
      </w:r>
      <w:r w:rsidRPr="009B3F1B">
        <w:t> (irritant)</w:t>
      </w:r>
      <w:r>
        <w:t xml:space="preserve"> </w:t>
      </w:r>
      <w:r>
        <w:rPr>
          <w:i/>
        </w:rPr>
        <w:t>(</w:t>
      </w:r>
      <w:proofErr w:type="spellStart"/>
      <w:r>
        <w:rPr>
          <w:i/>
        </w:rPr>
        <w:t>Hazcard</w:t>
      </w:r>
      <w:proofErr w:type="spellEnd"/>
      <w:r>
        <w:rPr>
          <w:i/>
        </w:rPr>
        <w:t xml:space="preserve"> 87, Recipe 77)</w:t>
      </w:r>
    </w:p>
    <w:p w14:paraId="654B6C74" w14:textId="77777777" w:rsidR="009875B2" w:rsidRPr="009B3F1B" w:rsidRDefault="009875B2" w:rsidP="009875B2">
      <w:pPr>
        <w:pStyle w:val="Bullets"/>
      </w:pPr>
      <w:r w:rsidRPr="009B3F1B">
        <w:t>Sodium hydroxide solution, 1 </w:t>
      </w:r>
      <w:proofErr w:type="spellStart"/>
      <w:r w:rsidRPr="009B3F1B">
        <w:t>mol</w:t>
      </w:r>
      <w:proofErr w:type="spellEnd"/>
      <w:r w:rsidRPr="009B3F1B">
        <w:t> dm</w:t>
      </w:r>
      <w:r w:rsidRPr="009B3F1B">
        <w:rPr>
          <w:vertAlign w:val="superscript"/>
        </w:rPr>
        <w:t>-3</w:t>
      </w:r>
      <w:r w:rsidRPr="009B3F1B">
        <w:t>, c.5 cm</w:t>
      </w:r>
      <w:r w:rsidRPr="009B3F1B">
        <w:rPr>
          <w:vertAlign w:val="superscript"/>
        </w:rPr>
        <w:t>3</w:t>
      </w:r>
      <w:r w:rsidRPr="009B3F1B">
        <w:t> (corrosive)</w:t>
      </w:r>
      <w:r>
        <w:t xml:space="preserve"> (</w:t>
      </w:r>
      <w:proofErr w:type="spellStart"/>
      <w:r w:rsidRPr="009B3F1B">
        <w:rPr>
          <w:i/>
        </w:rPr>
        <w:t>Hazcard</w:t>
      </w:r>
      <w:proofErr w:type="spellEnd"/>
      <w:r w:rsidRPr="009B3F1B">
        <w:rPr>
          <w:i/>
        </w:rPr>
        <w:t xml:space="preserve"> 97a, Recipe 85</w:t>
      </w:r>
      <w:r>
        <w:t>)</w:t>
      </w:r>
    </w:p>
    <w:p w14:paraId="198C8266" w14:textId="77777777" w:rsidR="009875B2" w:rsidRPr="009B3F1B" w:rsidRDefault="009875B2" w:rsidP="009875B2">
      <w:pPr>
        <w:pStyle w:val="Bullets"/>
      </w:pPr>
      <w:r w:rsidRPr="009B3F1B">
        <w:t>Ammonium hydroxide solution, 2 </w:t>
      </w:r>
      <w:proofErr w:type="spellStart"/>
      <w:r w:rsidRPr="009B3F1B">
        <w:t>mol</w:t>
      </w:r>
      <w:proofErr w:type="spellEnd"/>
      <w:r w:rsidRPr="009B3F1B">
        <w:t> dm</w:t>
      </w:r>
      <w:r w:rsidRPr="009B3F1B">
        <w:rPr>
          <w:vertAlign w:val="superscript"/>
        </w:rPr>
        <w:t>-3</w:t>
      </w:r>
      <w:r w:rsidRPr="009B3F1B">
        <w:t>, c.5 cm</w:t>
      </w:r>
      <w:r w:rsidRPr="009B3F1B">
        <w:rPr>
          <w:vertAlign w:val="superscript"/>
        </w:rPr>
        <w:t>3</w:t>
      </w:r>
      <w:r w:rsidRPr="009B3F1B">
        <w:t> (corrosive, irritant)</w:t>
      </w:r>
      <w:r>
        <w:t xml:space="preserve"> </w:t>
      </w:r>
      <w:r w:rsidRPr="009B3F1B">
        <w:rPr>
          <w:i/>
        </w:rPr>
        <w:t>(</w:t>
      </w:r>
      <w:proofErr w:type="spellStart"/>
      <w:r w:rsidRPr="009B3F1B">
        <w:rPr>
          <w:i/>
        </w:rPr>
        <w:t>Hazcard</w:t>
      </w:r>
      <w:proofErr w:type="spellEnd"/>
      <w:r w:rsidRPr="009B3F1B">
        <w:rPr>
          <w:i/>
        </w:rPr>
        <w:t xml:space="preserve"> 6, Recipe 6)</w:t>
      </w:r>
    </w:p>
    <w:p w14:paraId="3E7337E1" w14:textId="77777777" w:rsidR="009875B2" w:rsidRPr="009B3F1B" w:rsidRDefault="009875B2" w:rsidP="009875B2">
      <w:pPr>
        <w:pStyle w:val="Bullets"/>
      </w:pPr>
      <w:r w:rsidRPr="009B3F1B">
        <w:t xml:space="preserve">Copper(II) </w:t>
      </w:r>
      <w:proofErr w:type="spellStart"/>
      <w:r w:rsidRPr="009B3F1B">
        <w:t>sulfate</w:t>
      </w:r>
      <w:proofErr w:type="spellEnd"/>
      <w:r w:rsidRPr="009B3F1B">
        <w:t xml:space="preserve"> solution, 0.1 </w:t>
      </w:r>
      <w:proofErr w:type="spellStart"/>
      <w:r w:rsidRPr="009B3F1B">
        <w:t>mol</w:t>
      </w:r>
      <w:proofErr w:type="spellEnd"/>
      <w:r w:rsidRPr="009B3F1B">
        <w:t> dm</w:t>
      </w:r>
      <w:r w:rsidRPr="009B3F1B">
        <w:rPr>
          <w:vertAlign w:val="superscript"/>
        </w:rPr>
        <w:t>-3</w:t>
      </w:r>
      <w:r w:rsidRPr="009B3F1B">
        <w:t>, c.20 cm</w:t>
      </w:r>
      <w:r>
        <w:rPr>
          <w:vertAlign w:val="superscript"/>
        </w:rPr>
        <w:t>3</w:t>
      </w:r>
      <w:r>
        <w:t xml:space="preserve"> </w:t>
      </w:r>
      <w:r w:rsidRPr="009B3F1B">
        <w:rPr>
          <w:i/>
        </w:rPr>
        <w:t>(</w:t>
      </w:r>
      <w:proofErr w:type="spellStart"/>
      <w:r w:rsidRPr="009B3F1B">
        <w:rPr>
          <w:i/>
        </w:rPr>
        <w:t>Hazcard</w:t>
      </w:r>
      <w:proofErr w:type="spellEnd"/>
      <w:r w:rsidRPr="009B3F1B">
        <w:rPr>
          <w:i/>
        </w:rPr>
        <w:t xml:space="preserve"> 27c, Recipe 31)</w:t>
      </w:r>
    </w:p>
    <w:p w14:paraId="65338EC0" w14:textId="77777777" w:rsidR="009875B2" w:rsidRPr="009B3F1B" w:rsidRDefault="009875B2" w:rsidP="009875B2">
      <w:pPr>
        <w:pStyle w:val="Bullets"/>
      </w:pPr>
      <w:r w:rsidRPr="009B3F1B">
        <w:t>2 side-arm boiling tubes with delivery tubes</w:t>
      </w:r>
    </w:p>
    <w:p w14:paraId="05F837B1" w14:textId="77777777" w:rsidR="009875B2" w:rsidRPr="009B3F1B" w:rsidRDefault="009875B2" w:rsidP="009875B2">
      <w:pPr>
        <w:pStyle w:val="Bullets"/>
      </w:pPr>
      <w:r w:rsidRPr="009B3F1B">
        <w:t>Bungs</w:t>
      </w:r>
    </w:p>
    <w:p w14:paraId="1E7D2FE9" w14:textId="77777777" w:rsidR="009875B2" w:rsidRPr="009B3F1B" w:rsidRDefault="009875B2" w:rsidP="009875B2">
      <w:pPr>
        <w:pStyle w:val="Bullets"/>
      </w:pPr>
      <w:r w:rsidRPr="009B3F1B">
        <w:t>1 boiling tube</w:t>
      </w:r>
    </w:p>
    <w:p w14:paraId="43A3B05F" w14:textId="77777777" w:rsidR="009875B2" w:rsidRPr="009B3F1B" w:rsidRDefault="009875B2" w:rsidP="009875B2">
      <w:pPr>
        <w:pStyle w:val="Bullets"/>
      </w:pPr>
      <w:r w:rsidRPr="009B3F1B">
        <w:t>Filter paper and funnel</w:t>
      </w:r>
    </w:p>
    <w:p w14:paraId="79B20539" w14:textId="77777777" w:rsidR="009875B2" w:rsidRPr="009B3F1B" w:rsidRDefault="009875B2" w:rsidP="009875B2">
      <w:pPr>
        <w:pStyle w:val="Bullets"/>
      </w:pPr>
      <w:r w:rsidRPr="009B3F1B">
        <w:t>Bunsen burner, heat-resistant mat, tripod and gauze</w:t>
      </w:r>
    </w:p>
    <w:p w14:paraId="3D7F5E4F" w14:textId="77777777" w:rsidR="009875B2" w:rsidRPr="009B3F1B" w:rsidRDefault="009875B2" w:rsidP="009875B2">
      <w:pPr>
        <w:pStyle w:val="Bullets"/>
      </w:pPr>
      <w:r w:rsidRPr="009B3F1B">
        <w:t>Boiling tube rack</w:t>
      </w:r>
    </w:p>
    <w:p w14:paraId="5A51C740" w14:textId="77777777" w:rsidR="009875B2" w:rsidRPr="009B3F1B" w:rsidRDefault="009875B2" w:rsidP="009875B2">
      <w:pPr>
        <w:pStyle w:val="Bullets"/>
      </w:pPr>
      <w:r w:rsidRPr="009B3F1B">
        <w:t>Optional large sheet of hardboard for protecting the bench</w:t>
      </w:r>
    </w:p>
    <w:p w14:paraId="054408E8" w14:textId="466A06A2" w:rsidR="001D1E2A" w:rsidRDefault="009875B2" w:rsidP="009875B2">
      <w:pPr>
        <w:pStyle w:val="Heading3"/>
      </w:pPr>
      <w:r>
        <w:t>Safety and disposal</w:t>
      </w:r>
    </w:p>
    <w:p w14:paraId="26767F30" w14:textId="77777777" w:rsidR="009875B2" w:rsidRPr="004840C5" w:rsidRDefault="009875B2" w:rsidP="009875B2">
      <w:r w:rsidRPr="004840C5">
        <w:t>This demonstration is unlikely to be covered by your school’s model risk assessments and a special risk assessment may be required. CLEAPSS members can obtain one by contacting them. This procedure is designed to ensure that no more than 0.5 g of explosive is produced to comply with the UK Explosives Regulations 2014 – producing larger amounts should not be attempted and is illegal in the UK without an explosives certificate issued by the police.</w:t>
      </w:r>
    </w:p>
    <w:p w14:paraId="2AFA0A50" w14:textId="77777777" w:rsidR="009875B2" w:rsidRPr="001757FB" w:rsidRDefault="009875B2" w:rsidP="009875B2">
      <w:r w:rsidRPr="001757FB">
        <w:t xml:space="preserve">Calcium carbide will burn </w:t>
      </w:r>
      <w:r>
        <w:t>the skin</w:t>
      </w:r>
      <w:r w:rsidRPr="001757FB">
        <w:t xml:space="preserve"> and is harmful if swallowed or inhaled. Solid CaC</w:t>
      </w:r>
      <w:r w:rsidRPr="001757FB">
        <w:rPr>
          <w:vertAlign w:val="subscript"/>
        </w:rPr>
        <w:t xml:space="preserve">2 </w:t>
      </w:r>
      <w:r w:rsidRPr="001757FB">
        <w:t xml:space="preserve">reacts with moisture in the air to produce gas, so pressure may build up in sealed containers containing the solid. Open containers with care. </w:t>
      </w:r>
      <w:proofErr w:type="spellStart"/>
      <w:r w:rsidRPr="001757FB">
        <w:t>Ethyne</w:t>
      </w:r>
      <w:proofErr w:type="spellEnd"/>
      <w:r w:rsidRPr="001757FB">
        <w:t xml:space="preserve"> forms explosive mixtures with air.</w:t>
      </w:r>
    </w:p>
    <w:p w14:paraId="556A698A" w14:textId="77777777" w:rsidR="009875B2" w:rsidRDefault="009875B2" w:rsidP="009875B2">
      <w:r>
        <w:t>Do not add the calcium carbide to the silver nitrate solution directly or bubble the gas directly through silver nitrate solution – explosive double salts will be produced.</w:t>
      </w:r>
    </w:p>
    <w:p w14:paraId="054408E9" w14:textId="737BCED5" w:rsidR="001D1E2A" w:rsidRDefault="009875B2" w:rsidP="000D3D40">
      <w:r>
        <w:t>Following the demonstration, unreacted solid can be disposed of by passing a Bunsen flame over the surrounding area. This should be repeated the following morning as small fragments of damp powder can be thrown out by larger detonations, dry overnight to become contact sensitive, and startle other lab users.</w:t>
      </w:r>
    </w:p>
    <w:p w14:paraId="71978D6D" w14:textId="77777777" w:rsidR="009875B2" w:rsidRDefault="009875B2" w:rsidP="009875B2">
      <w:pPr>
        <w:pStyle w:val="Heading3"/>
      </w:pPr>
      <w:r w:rsidRPr="00FF4639">
        <w:t>Preparation</w:t>
      </w:r>
    </w:p>
    <w:p w14:paraId="5E198AFA" w14:textId="77777777" w:rsidR="009875B2" w:rsidRDefault="009875B2" w:rsidP="009875B2">
      <w:r>
        <w:t xml:space="preserve">Wear eye protection. Prepare </w:t>
      </w:r>
      <w:proofErr w:type="spellStart"/>
      <w:r>
        <w:t>ammoniacal</w:t>
      </w:r>
      <w:proofErr w:type="spellEnd"/>
      <w:r>
        <w:t xml:space="preserve"> silver nitrate in a boiling tube by adding s</w:t>
      </w:r>
      <w:r w:rsidRPr="00275308">
        <w:t>odium hydroxide solution (1</w:t>
      </w:r>
      <w:r>
        <w:t xml:space="preserve"> </w:t>
      </w:r>
      <w:proofErr w:type="spellStart"/>
      <w:r>
        <w:t>mol</w:t>
      </w:r>
      <w:proofErr w:type="spellEnd"/>
      <w:r>
        <w:t xml:space="preserve"> dm</w:t>
      </w:r>
      <w:r w:rsidRPr="005C5600">
        <w:rPr>
          <w:vertAlign w:val="superscript"/>
        </w:rPr>
        <w:t>-3</w:t>
      </w:r>
      <w:r w:rsidRPr="00275308">
        <w:t xml:space="preserve">) dropwise to 15 </w:t>
      </w:r>
      <w:r>
        <w:t>cm</w:t>
      </w:r>
      <w:r>
        <w:rPr>
          <w:vertAlign w:val="superscript"/>
        </w:rPr>
        <w:t>3</w:t>
      </w:r>
      <w:r w:rsidRPr="00275308">
        <w:t xml:space="preserve"> of 0.25</w:t>
      </w:r>
      <w:r>
        <w:t xml:space="preserve"> </w:t>
      </w:r>
      <w:proofErr w:type="spellStart"/>
      <w:r>
        <w:t>mol</w:t>
      </w:r>
      <w:proofErr w:type="spellEnd"/>
      <w:r>
        <w:t xml:space="preserve"> dm</w:t>
      </w:r>
      <w:r w:rsidRPr="005C5600">
        <w:rPr>
          <w:vertAlign w:val="superscript"/>
        </w:rPr>
        <w:t>-3</w:t>
      </w:r>
      <w:r w:rsidRPr="00275308">
        <w:t xml:space="preserve"> silver nitrate until </w:t>
      </w:r>
      <w:r>
        <w:t>a</w:t>
      </w:r>
      <w:r w:rsidRPr="00275308">
        <w:t xml:space="preserve"> precipitate of silver oxide forms.</w:t>
      </w:r>
      <w:r>
        <w:t xml:space="preserve"> Add</w:t>
      </w:r>
      <w:r w:rsidRPr="00275308">
        <w:t xml:space="preserve"> </w:t>
      </w:r>
      <w:r>
        <w:t>a</w:t>
      </w:r>
      <w:r w:rsidRPr="00275308">
        <w:t>mmonia solution (2</w:t>
      </w:r>
      <w:r>
        <w:t xml:space="preserve"> </w:t>
      </w:r>
      <w:proofErr w:type="spellStart"/>
      <w:r>
        <w:t>mol</w:t>
      </w:r>
      <w:proofErr w:type="spellEnd"/>
      <w:r>
        <w:t xml:space="preserve"> dm</w:t>
      </w:r>
      <w:r w:rsidRPr="005C5600">
        <w:rPr>
          <w:vertAlign w:val="superscript"/>
        </w:rPr>
        <w:t>-3</w:t>
      </w:r>
      <w:r w:rsidRPr="00275308">
        <w:t xml:space="preserve">) </w:t>
      </w:r>
      <w:r>
        <w:t xml:space="preserve">dropwise, stirring thoroughly </w:t>
      </w:r>
      <w:r w:rsidRPr="00275308">
        <w:t xml:space="preserve">until </w:t>
      </w:r>
      <w:r>
        <w:t>the precipitate re-dissolves to form</w:t>
      </w:r>
      <w:r w:rsidRPr="00275308">
        <w:t xml:space="preserve"> </w:t>
      </w:r>
      <w:r>
        <w:t xml:space="preserve">a </w:t>
      </w:r>
      <w:r w:rsidRPr="00275308">
        <w:t>colourless solution.</w:t>
      </w:r>
    </w:p>
    <w:p w14:paraId="14F586BE" w14:textId="77777777" w:rsidR="009875B2" w:rsidRPr="00FF4639" w:rsidRDefault="009875B2" w:rsidP="009875B2">
      <w:r>
        <w:t>Set up a chain of boiling tubes and delivery tubes in a boiling tube rack. The first side-arm boiling tube should contain approx. 15–20 cm</w:t>
      </w:r>
      <w:r w:rsidRPr="00275308">
        <w:rPr>
          <w:vertAlign w:val="superscript"/>
        </w:rPr>
        <w:t>3</w:t>
      </w:r>
      <w:r>
        <w:t xml:space="preserve"> of water (leaving a gap to the side-arm so liquid will not bubble over once the calcium carbide is added). The delivery tube from the side-arm of the first tube should be set up to bubble gas through the copper </w:t>
      </w:r>
      <w:proofErr w:type="spellStart"/>
      <w:r>
        <w:t>sulfate</w:t>
      </w:r>
      <w:proofErr w:type="spellEnd"/>
      <w:r>
        <w:t xml:space="preserve"> solution in the second tube to absorb hydrogen </w:t>
      </w:r>
      <w:proofErr w:type="spellStart"/>
      <w:r>
        <w:t>sulfide</w:t>
      </w:r>
      <w:proofErr w:type="spellEnd"/>
      <w:r>
        <w:t xml:space="preserve"> gas. The purified acetylene gas then bubbles through the </w:t>
      </w:r>
      <w:proofErr w:type="spellStart"/>
      <w:r>
        <w:t>ammoniacal</w:t>
      </w:r>
      <w:proofErr w:type="spellEnd"/>
      <w:r>
        <w:t xml:space="preserve"> silver nitrate prepared in the previous step. Cutting the teat off a plastic dropping pipette and inserting into the end of the rubber tubing can help keep the tube out of the liquid and deliver a controlled flow of bubbles to the bottom of the liquid.</w:t>
      </w:r>
    </w:p>
    <w:p w14:paraId="2A3EEC69" w14:textId="77777777" w:rsidR="009875B2" w:rsidRPr="00FF4639" w:rsidRDefault="009875B2" w:rsidP="009875B2">
      <w:pPr>
        <w:pStyle w:val="Heading3"/>
      </w:pPr>
      <w:r w:rsidRPr="00FF4639">
        <w:lastRenderedPageBreak/>
        <w:t>In front of the class</w:t>
      </w:r>
    </w:p>
    <w:p w14:paraId="4B003343" w14:textId="77777777" w:rsidR="009875B2" w:rsidRPr="00FF4639" w:rsidRDefault="009875B2" w:rsidP="009875B2">
      <w:r>
        <w:t xml:space="preserve">Do the demonstration at the start of the class to leave time for cleaning </w:t>
      </w:r>
      <w:proofErr w:type="gramStart"/>
      <w:r>
        <w:t>up.</w:t>
      </w:r>
      <w:proofErr w:type="gramEnd"/>
      <w:r>
        <w:t xml:space="preserve"> Add the calcium carbide chips to the water in the first tube and replace the bung – acetylene gas will bubble through the final tube generating a precipitate of silver </w:t>
      </w:r>
      <w:proofErr w:type="spellStart"/>
      <w:r>
        <w:t>acetylide</w:t>
      </w:r>
      <w:proofErr w:type="spellEnd"/>
      <w:r>
        <w:t>. Wear a face shield when working with the precipitate. Filter the solution and while still damp, transfer the residue to a gauze on a tripod placed behind two safety screens – one for the audience and one for the demonstrator. Students should sit well back, wear eye protection, and be warned about a loud bang. Place a lit Bunsen under the gauze and retreat to a safe distance. As the precipitate dries, the explosive detonates with a number of bangs, each accompanied by a small flash and a tiny puff of soot.</w:t>
      </w:r>
    </w:p>
    <w:p w14:paraId="61BB773E" w14:textId="77777777" w:rsidR="009875B2" w:rsidRPr="009875B2" w:rsidRDefault="009875B2" w:rsidP="009875B2">
      <w:pPr>
        <w:pStyle w:val="Heading3"/>
      </w:pPr>
      <w:r>
        <w:t>Tips</w:t>
      </w:r>
    </w:p>
    <w:p w14:paraId="6FDA608F" w14:textId="5373384D" w:rsidR="009875B2" w:rsidRDefault="009875B2" w:rsidP="009875B2">
      <w:r>
        <w:t>Setting up the demonstration on a large sheet of hardboard can protect the bench and make burning up unreacted powder with a flame a lot easier. A cylinder of wire mesh (such as insect mesh) can be placed around the precipitate before heating – this will contain most powder fragments and make cleaning up much quicker.</w:t>
      </w:r>
    </w:p>
    <w:p w14:paraId="0643B9B8" w14:textId="6F386FDA" w:rsidR="00B57B2A" w:rsidRDefault="00B57B2A" w:rsidP="009875B2"/>
    <w:p w14:paraId="6327FE3F" w14:textId="77777777" w:rsidR="00B57B2A" w:rsidRPr="00FF4639" w:rsidRDefault="00B57B2A" w:rsidP="009875B2"/>
    <w:p w14:paraId="6FBAA781" w14:textId="6EDDB08C" w:rsidR="009875B2" w:rsidRPr="00B57B2A" w:rsidRDefault="009875B2" w:rsidP="009875B2">
      <w:pPr>
        <w:rPr>
          <w:i/>
        </w:rPr>
      </w:pPr>
      <w:r w:rsidRPr="00B57B2A">
        <w:rPr>
          <w:i/>
        </w:rPr>
        <w:t xml:space="preserve">For more spectacular demonstrations, take a look at the Exhibition Chemistry archive on the </w:t>
      </w:r>
      <w:r w:rsidRPr="00B57B2A">
        <w:t>Education in Chemistry</w:t>
      </w:r>
      <w:r w:rsidRPr="00B57B2A">
        <w:rPr>
          <w:i/>
        </w:rPr>
        <w:t xml:space="preserve"> website: </w:t>
      </w:r>
      <w:hyperlink r:id="rId10" w:history="1">
        <w:r w:rsidRPr="00B57B2A">
          <w:rPr>
            <w:rStyle w:val="Hyperlink"/>
            <w:i/>
          </w:rPr>
          <w:t>http</w:t>
        </w:r>
        <w:r w:rsidR="00EA0DFF" w:rsidRPr="00B57B2A">
          <w:rPr>
            <w:rStyle w:val="Hyperlink"/>
            <w:i/>
          </w:rPr>
          <w:t>s</w:t>
        </w:r>
        <w:r w:rsidRPr="00B57B2A">
          <w:rPr>
            <w:rStyle w:val="Hyperlink"/>
            <w:i/>
          </w:rPr>
          <w:t>://</w:t>
        </w:r>
        <w:r w:rsidR="00EA0DFF" w:rsidRPr="00B57B2A">
          <w:rPr>
            <w:rStyle w:val="Hyperlink"/>
            <w:i/>
          </w:rPr>
          <w:t>eic.rsc.org/</w:t>
        </w:r>
        <w:r w:rsidRPr="00B57B2A">
          <w:rPr>
            <w:rStyle w:val="Hyperlink"/>
            <w:i/>
          </w:rPr>
          <w:t>exhibition-chemistry</w:t>
        </w:r>
      </w:hyperlink>
    </w:p>
    <w:p w14:paraId="26412968" w14:textId="77777777" w:rsidR="009875B2" w:rsidRDefault="009875B2" w:rsidP="000D3D40"/>
    <w:p w14:paraId="054408EA" w14:textId="77777777" w:rsidR="001D1E2A" w:rsidRDefault="001D1E2A" w:rsidP="000D3D40"/>
    <w:p w14:paraId="054408EB" w14:textId="77777777" w:rsidR="001D1E2A" w:rsidRDefault="001D1E2A" w:rsidP="000D3D40"/>
    <w:p w14:paraId="054408EC" w14:textId="77777777" w:rsidR="001D1E2A" w:rsidRDefault="001D1E2A" w:rsidP="000D3D40"/>
    <w:p w14:paraId="054408ED" w14:textId="77777777" w:rsidR="001D1E2A" w:rsidRPr="00281035" w:rsidRDefault="001D1E2A" w:rsidP="000D3D40"/>
    <w:sectPr w:rsidR="001D1E2A" w:rsidRPr="00281035"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7777777"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7777777"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50EEB"/>
    <w:rsid w:val="00A52886"/>
    <w:rsid w:val="00A75F4C"/>
    <w:rsid w:val="00A9584B"/>
    <w:rsid w:val="00AB1738"/>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ic.rsc.org/exhibition-chemist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A4 Word portrait template</vt:lpstr>
    </vt:vector>
  </TitlesOfParts>
  <Company>Royal Society of Chemistry</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Incendiary silver</dc:title>
  <dc:subject>Demonstration silver acetylide as a contact explosive</dc:subject>
  <dc:creator>Royal Society of Chemistry</dc:creator>
  <cp:lastModifiedBy>David Sait</cp:lastModifiedBy>
  <cp:revision>6</cp:revision>
  <dcterms:created xsi:type="dcterms:W3CDTF">2016-12-15T11:02:00Z</dcterms:created>
  <dcterms:modified xsi:type="dcterms:W3CDTF">2017-03-02T08:37:00Z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