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53BCB" w14:textId="3AC47C1E" w:rsidR="00DC33C6" w:rsidRDefault="00DC33C6" w:rsidP="007C1813">
      <w:pPr>
        <w:pStyle w:val="Leadparagraph"/>
        <w:rPr>
          <w:rFonts w:eastAsiaTheme="majorEastAsia" w:cstheme="majorBidi"/>
          <w:bCs/>
          <w:color w:val="2C4D67"/>
          <w:sz w:val="30"/>
          <w:szCs w:val="30"/>
        </w:rPr>
      </w:pPr>
      <w:r w:rsidRPr="00DC33C6">
        <w:rPr>
          <w:rFonts w:eastAsiaTheme="majorEastAsia" w:cstheme="majorBidi"/>
          <w:bCs/>
          <w:color w:val="2C4D67"/>
          <w:sz w:val="30"/>
          <w:szCs w:val="30"/>
        </w:rPr>
        <w:t>Working with multipl</w:t>
      </w:r>
      <w:r>
        <w:rPr>
          <w:rFonts w:eastAsiaTheme="majorEastAsia" w:cstheme="majorBidi"/>
          <w:bCs/>
          <w:color w:val="2C4D67"/>
          <w:sz w:val="30"/>
          <w:szCs w:val="30"/>
        </w:rPr>
        <w:t>e representations</w:t>
      </w:r>
      <w:r w:rsidR="000B451F">
        <w:rPr>
          <w:rFonts w:eastAsiaTheme="majorEastAsia" w:cstheme="majorBidi"/>
          <w:bCs/>
          <w:color w:val="2C4D67"/>
          <w:sz w:val="30"/>
          <w:szCs w:val="30"/>
        </w:rPr>
        <w:t xml:space="preserve"> – </w:t>
      </w:r>
      <w:bookmarkStart w:id="0" w:name="_GoBack"/>
      <w:r w:rsidR="000B451F">
        <w:rPr>
          <w:rFonts w:eastAsiaTheme="majorEastAsia" w:cstheme="majorBidi"/>
          <w:bCs/>
          <w:color w:val="2C4D67"/>
          <w:sz w:val="30"/>
          <w:szCs w:val="30"/>
        </w:rPr>
        <w:t>teacher notes</w:t>
      </w:r>
    </w:p>
    <w:bookmarkEnd w:id="0"/>
    <w:p w14:paraId="054408C7" w14:textId="1ED9725E" w:rsidR="00D71A1A" w:rsidRPr="007C1813" w:rsidRDefault="009875B2" w:rsidP="007C1813">
      <w:pPr>
        <w:pStyle w:val="Leadparagraph"/>
      </w:pPr>
      <w:r w:rsidRPr="009875B2">
        <w:rPr>
          <w:rStyle w:val="LeadparagraphChar"/>
          <w:b/>
          <w:i/>
        </w:rPr>
        <w:t>Education in Chemistry</w:t>
      </w:r>
      <w:r>
        <w:rPr>
          <w:rStyle w:val="LeadparagraphChar"/>
          <w:b/>
        </w:rPr>
        <w:br/>
      </w:r>
      <w:r w:rsidR="00EB1D7C">
        <w:rPr>
          <w:rStyle w:val="LeadparagraphChar"/>
        </w:rPr>
        <w:t>July</w:t>
      </w:r>
      <w:r w:rsidRPr="009875B2">
        <w:rPr>
          <w:rStyle w:val="LeadparagraphChar"/>
        </w:rPr>
        <w:t xml:space="preserve"> 2017</w:t>
      </w:r>
      <w:r>
        <w:rPr>
          <w:rStyle w:val="LeadparagraphChar"/>
          <w:b/>
        </w:rPr>
        <w:br/>
      </w:r>
      <w:hyperlink r:id="rId10" w:history="1">
        <w:r w:rsidR="00A42400" w:rsidRPr="00A42400">
          <w:rPr>
            <w:rStyle w:val="Hyperlink"/>
            <w:b w:val="0"/>
          </w:rPr>
          <w:t>rsc.li/EiC</w:t>
        </w:r>
        <w:r w:rsidR="00EB1D7C">
          <w:rPr>
            <w:rStyle w:val="Hyperlink"/>
            <w:b w:val="0"/>
          </w:rPr>
          <w:t>417-medical-plastics</w:t>
        </w:r>
      </w:hyperlink>
    </w:p>
    <w:p w14:paraId="1521FBB8" w14:textId="6C954EF2" w:rsidR="00E42AF7" w:rsidRDefault="00E42AF7" w:rsidP="00E42AF7">
      <w:pPr>
        <w:pStyle w:val="Leadparagraph"/>
      </w:pPr>
      <w:r>
        <w:t>This experiment accompanies the above article ‘Body, heal thyself’.</w:t>
      </w:r>
    </w:p>
    <w:p w14:paraId="28629ED1" w14:textId="77777777" w:rsidR="007B10D3" w:rsidRDefault="007B10D3" w:rsidP="00990495">
      <w:r>
        <w:t>This activity helps pupils practice working with multiple representations of substances alongside reading the article. The sheet has been designed so the representations look like those typically seen in searches on Google and Wikipedia. Some show skeletal formulae, which pupils of this age wouldn’t be expected to know, however these are used when they are the representation most commonly found online.</w:t>
      </w:r>
    </w:p>
    <w:p w14:paraId="6A737B6F" w14:textId="77777777" w:rsidR="007B10D3" w:rsidRDefault="007B10D3" w:rsidP="007B10D3">
      <w:r>
        <w:t>In addition to the information found using the article, pupils can be directed to add information from their own understanding and prior work.</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3592"/>
        <w:gridCol w:w="2768"/>
        <w:gridCol w:w="2700"/>
      </w:tblGrid>
      <w:tr w:rsidR="00C263F1" w:rsidRPr="00C86290" w14:paraId="0AF6F46C" w14:textId="77777777" w:rsidTr="007B10D3">
        <w:tc>
          <w:tcPr>
            <w:tcW w:w="3592" w:type="dxa"/>
          </w:tcPr>
          <w:p w14:paraId="5478B159" w14:textId="77777777" w:rsidR="00C263F1" w:rsidRPr="00C86290" w:rsidRDefault="00C263F1" w:rsidP="00C263F1">
            <w:pPr>
              <w:spacing w:after="0"/>
              <w:rPr>
                <w:b/>
              </w:rPr>
            </w:pPr>
            <w:r w:rsidRPr="00C86290">
              <w:rPr>
                <w:b/>
              </w:rPr>
              <w:t xml:space="preserve">Representation </w:t>
            </w:r>
          </w:p>
        </w:tc>
        <w:tc>
          <w:tcPr>
            <w:tcW w:w="2768" w:type="dxa"/>
          </w:tcPr>
          <w:p w14:paraId="3538947A" w14:textId="77777777" w:rsidR="00C263F1" w:rsidRPr="00C86290" w:rsidRDefault="00C263F1" w:rsidP="00C263F1">
            <w:pPr>
              <w:spacing w:after="0"/>
              <w:rPr>
                <w:b/>
              </w:rPr>
            </w:pPr>
            <w:r w:rsidRPr="00C86290">
              <w:rPr>
                <w:b/>
              </w:rPr>
              <w:t>Name</w:t>
            </w:r>
          </w:p>
        </w:tc>
        <w:tc>
          <w:tcPr>
            <w:tcW w:w="2700" w:type="dxa"/>
          </w:tcPr>
          <w:p w14:paraId="56A4CA6F" w14:textId="77777777" w:rsidR="00C263F1" w:rsidRPr="00C86290" w:rsidRDefault="00C263F1" w:rsidP="00C263F1">
            <w:pPr>
              <w:spacing w:after="0"/>
              <w:rPr>
                <w:b/>
              </w:rPr>
            </w:pPr>
            <w:r w:rsidRPr="00C86290">
              <w:rPr>
                <w:b/>
              </w:rPr>
              <w:t>Further information</w:t>
            </w:r>
          </w:p>
        </w:tc>
      </w:tr>
      <w:tr w:rsidR="007B10D3" w14:paraId="621C7194" w14:textId="77777777" w:rsidTr="00AA70A1">
        <w:trPr>
          <w:trHeight w:val="227"/>
        </w:trPr>
        <w:tc>
          <w:tcPr>
            <w:tcW w:w="3592" w:type="dxa"/>
          </w:tcPr>
          <w:p w14:paraId="3F0B7C85" w14:textId="77777777" w:rsidR="007B10D3" w:rsidRDefault="007B10D3" w:rsidP="007B10D3">
            <w:pPr>
              <w:spacing w:after="0"/>
              <w:jc w:val="center"/>
            </w:pPr>
            <w:r>
              <w:object w:dxaOrig="3478" w:dyaOrig="725" w14:anchorId="6F822A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7" type="#_x0000_t75" style="width:174.15pt;height:35.15pt" o:ole="">
                  <v:imagedata r:id="rId11" o:title=""/>
                </v:shape>
                <o:OLEObject Type="Embed" ProgID="ChemDraw.Document.6.0" ShapeID="_x0000_i1207" DrawAspect="Content" ObjectID="_1559453788" r:id="rId12"/>
              </w:object>
            </w:r>
          </w:p>
        </w:tc>
        <w:tc>
          <w:tcPr>
            <w:tcW w:w="2768" w:type="dxa"/>
          </w:tcPr>
          <w:p w14:paraId="36B4D761" w14:textId="77777777" w:rsidR="007B10D3" w:rsidRDefault="007B10D3" w:rsidP="007B10D3">
            <w:pPr>
              <w:spacing w:after="0"/>
            </w:pPr>
            <w:r>
              <w:t>nylon</w:t>
            </w:r>
          </w:p>
        </w:tc>
        <w:tc>
          <w:tcPr>
            <w:tcW w:w="2700" w:type="dxa"/>
          </w:tcPr>
          <w:p w14:paraId="47B08972" w14:textId="77777777" w:rsidR="007B10D3" w:rsidRDefault="007B10D3" w:rsidP="007B10D3">
            <w:pPr>
              <w:spacing w:after="0"/>
            </w:pPr>
            <w:r w:rsidRPr="00CF6794">
              <w:t>Synthetic polymer</w:t>
            </w:r>
          </w:p>
          <w:p w14:paraId="52B76EA4" w14:textId="22BFE830" w:rsidR="007B10D3" w:rsidRDefault="007B10D3" w:rsidP="007B10D3">
            <w:pPr>
              <w:spacing w:after="0"/>
            </w:pPr>
            <w:r>
              <w:t>Used in carpets</w:t>
            </w:r>
          </w:p>
        </w:tc>
      </w:tr>
      <w:tr w:rsidR="007B10D3" w14:paraId="35264689" w14:textId="77777777" w:rsidTr="00AA70A1">
        <w:trPr>
          <w:trHeight w:val="227"/>
        </w:trPr>
        <w:tc>
          <w:tcPr>
            <w:tcW w:w="3592" w:type="dxa"/>
          </w:tcPr>
          <w:p w14:paraId="783E1919" w14:textId="77777777" w:rsidR="007B10D3" w:rsidRDefault="007B10D3" w:rsidP="007B10D3">
            <w:pPr>
              <w:spacing w:after="0"/>
              <w:jc w:val="center"/>
            </w:pPr>
            <w:r>
              <w:object w:dxaOrig="2517" w:dyaOrig="859" w14:anchorId="6FAC60CD">
                <v:shape id="_x0000_i1208" type="#_x0000_t75" style="width:125.6pt;height:42.7pt" o:ole="">
                  <v:imagedata r:id="rId13" o:title=""/>
                </v:shape>
                <o:OLEObject Type="Embed" ProgID="ChemDraw.Document.6.0" ShapeID="_x0000_i1208" DrawAspect="Content" ObjectID="_1559453789" r:id="rId14"/>
              </w:object>
            </w:r>
          </w:p>
        </w:tc>
        <w:tc>
          <w:tcPr>
            <w:tcW w:w="2768" w:type="dxa"/>
          </w:tcPr>
          <w:p w14:paraId="0155C83A" w14:textId="299831EE" w:rsidR="007B10D3" w:rsidRDefault="007B10D3" w:rsidP="007B10D3">
            <w:pPr>
              <w:spacing w:after="0"/>
            </w:pPr>
            <w:r>
              <w:rPr>
                <w:rStyle w:val="st"/>
              </w:rPr>
              <w:t>poly(ethylene terephthalate) (PET)</w:t>
            </w:r>
          </w:p>
        </w:tc>
        <w:tc>
          <w:tcPr>
            <w:tcW w:w="2700" w:type="dxa"/>
          </w:tcPr>
          <w:p w14:paraId="62C18E98" w14:textId="77777777" w:rsidR="007B10D3" w:rsidRDefault="007B10D3" w:rsidP="007B10D3">
            <w:pPr>
              <w:spacing w:after="0"/>
            </w:pPr>
            <w:r>
              <w:t>Synthetic polymer</w:t>
            </w:r>
          </w:p>
          <w:p w14:paraId="52EEFB29" w14:textId="330156FD" w:rsidR="007B10D3" w:rsidRDefault="007B10D3" w:rsidP="007B10D3">
            <w:pPr>
              <w:spacing w:after="0"/>
            </w:pPr>
            <w:r>
              <w:t>Used in drinks bottles</w:t>
            </w:r>
          </w:p>
        </w:tc>
      </w:tr>
      <w:tr w:rsidR="007B10D3" w14:paraId="20F8AF58" w14:textId="77777777" w:rsidTr="00AA70A1">
        <w:trPr>
          <w:trHeight w:val="227"/>
        </w:trPr>
        <w:tc>
          <w:tcPr>
            <w:tcW w:w="3592" w:type="dxa"/>
          </w:tcPr>
          <w:p w14:paraId="186CD7A1" w14:textId="5104918F" w:rsidR="007B10D3" w:rsidRDefault="00AA70A1" w:rsidP="007B10D3">
            <w:pPr>
              <w:spacing w:after="0"/>
              <w:jc w:val="center"/>
            </w:pPr>
            <w:r>
              <w:object w:dxaOrig="3180" w:dyaOrig="1466" w14:anchorId="430A8199">
                <v:shape id="_x0000_i1209" type="#_x0000_t75" style="width:137.3pt;height:62.8pt" o:ole="">
                  <v:imagedata r:id="rId15" o:title=""/>
                </v:shape>
                <o:OLEObject Type="Embed" ProgID="ChemDraw.Document.6.0" ShapeID="_x0000_i1209" DrawAspect="Content" ObjectID="_1559453790" r:id="rId16"/>
              </w:object>
            </w:r>
          </w:p>
        </w:tc>
        <w:tc>
          <w:tcPr>
            <w:tcW w:w="2768" w:type="dxa"/>
          </w:tcPr>
          <w:p w14:paraId="2298F782" w14:textId="77777777" w:rsidR="007B10D3" w:rsidRDefault="007B10D3" w:rsidP="007B10D3">
            <w:pPr>
              <w:spacing w:after="0"/>
            </w:pPr>
            <w:r>
              <w:rPr>
                <w:rStyle w:val="st"/>
              </w:rPr>
              <w:t>a</w:t>
            </w:r>
            <w:r w:rsidRPr="000242BB">
              <w:rPr>
                <w:rStyle w:val="st"/>
              </w:rPr>
              <w:t xml:space="preserve">crylonitrile </w:t>
            </w:r>
            <w:r>
              <w:rPr>
                <w:rStyle w:val="st"/>
              </w:rPr>
              <w:t>b</w:t>
            </w:r>
            <w:r w:rsidRPr="000242BB">
              <w:rPr>
                <w:rStyle w:val="st"/>
              </w:rPr>
              <w:t xml:space="preserve">utadiene </w:t>
            </w:r>
            <w:r>
              <w:rPr>
                <w:rStyle w:val="st"/>
              </w:rPr>
              <w:t>s</w:t>
            </w:r>
            <w:r w:rsidRPr="000242BB">
              <w:rPr>
                <w:rStyle w:val="st"/>
              </w:rPr>
              <w:t>tyrene</w:t>
            </w:r>
            <w:r w:rsidRPr="00573963">
              <w:rPr>
                <w:rStyle w:val="st"/>
              </w:rPr>
              <w:t xml:space="preserve"> </w:t>
            </w:r>
            <w:r>
              <w:rPr>
                <w:rStyle w:val="st"/>
              </w:rPr>
              <w:t>(ABS)</w:t>
            </w:r>
          </w:p>
        </w:tc>
        <w:tc>
          <w:tcPr>
            <w:tcW w:w="2700" w:type="dxa"/>
          </w:tcPr>
          <w:p w14:paraId="6A1CB706" w14:textId="77777777" w:rsidR="007B10D3" w:rsidRDefault="007B10D3" w:rsidP="007B10D3">
            <w:pPr>
              <w:spacing w:after="0"/>
            </w:pPr>
            <w:r w:rsidRPr="00CF6794">
              <w:t>Synthetic polymer</w:t>
            </w:r>
          </w:p>
          <w:p w14:paraId="615BFCA8" w14:textId="253CCD42" w:rsidR="007B10D3" w:rsidRDefault="007B10D3" w:rsidP="007B10D3">
            <w:pPr>
              <w:spacing w:after="0"/>
            </w:pPr>
            <w:r>
              <w:t>Used in computer keyboards</w:t>
            </w:r>
          </w:p>
        </w:tc>
      </w:tr>
      <w:tr w:rsidR="007B10D3" w14:paraId="187E7FD9" w14:textId="77777777" w:rsidTr="00AA70A1">
        <w:trPr>
          <w:trHeight w:val="227"/>
        </w:trPr>
        <w:tc>
          <w:tcPr>
            <w:tcW w:w="3592" w:type="dxa"/>
          </w:tcPr>
          <w:p w14:paraId="7F6B9589" w14:textId="33DEC6C4" w:rsidR="007B10D3" w:rsidRDefault="00AA70A1" w:rsidP="007B10D3">
            <w:pPr>
              <w:spacing w:after="0"/>
              <w:jc w:val="center"/>
            </w:pPr>
            <w:r>
              <w:object w:dxaOrig="2820" w:dyaOrig="1118" w14:anchorId="051A9E6E">
                <v:shape id="_x0000_i1210" type="#_x0000_t75" style="width:123.05pt;height:48.55pt" o:ole="">
                  <v:imagedata r:id="rId17" o:title=""/>
                </v:shape>
                <o:OLEObject Type="Embed" ProgID="ChemDraw.Document.6.0" ShapeID="_x0000_i1210" DrawAspect="Content" ObjectID="_1559453791" r:id="rId18"/>
              </w:object>
            </w:r>
          </w:p>
        </w:tc>
        <w:tc>
          <w:tcPr>
            <w:tcW w:w="2768" w:type="dxa"/>
          </w:tcPr>
          <w:p w14:paraId="5D54AF6A" w14:textId="77777777" w:rsidR="007B10D3" w:rsidRDefault="007B10D3" w:rsidP="007B10D3">
            <w:pPr>
              <w:spacing w:after="0"/>
            </w:pPr>
            <w:r>
              <w:t>polycarbonate</w:t>
            </w:r>
          </w:p>
        </w:tc>
        <w:tc>
          <w:tcPr>
            <w:tcW w:w="2700" w:type="dxa"/>
          </w:tcPr>
          <w:p w14:paraId="60AB5FF5" w14:textId="3E7C549C" w:rsidR="007B10D3" w:rsidRDefault="007B10D3" w:rsidP="007B10D3">
            <w:pPr>
              <w:spacing w:after="0"/>
            </w:pPr>
            <w:r>
              <w:t>Synthetic polymer</w:t>
            </w:r>
          </w:p>
          <w:p w14:paraId="14DA5F16" w14:textId="7DC8E9D3" w:rsidR="007B10D3" w:rsidRDefault="007B10D3" w:rsidP="007B10D3">
            <w:pPr>
              <w:spacing w:after="0"/>
            </w:pPr>
            <w:r>
              <w:t>Used in spectacle lenses</w:t>
            </w:r>
          </w:p>
        </w:tc>
      </w:tr>
      <w:tr w:rsidR="007B10D3" w14:paraId="691DA8C0" w14:textId="77777777" w:rsidTr="00AA70A1">
        <w:trPr>
          <w:trHeight w:val="227"/>
        </w:trPr>
        <w:tc>
          <w:tcPr>
            <w:tcW w:w="3592" w:type="dxa"/>
          </w:tcPr>
          <w:p w14:paraId="47FB6BCB" w14:textId="77777777" w:rsidR="007B10D3" w:rsidRDefault="007B10D3" w:rsidP="007B10D3">
            <w:pPr>
              <w:spacing w:after="0"/>
              <w:jc w:val="center"/>
            </w:pPr>
            <w:r>
              <w:object w:dxaOrig="1142" w:dyaOrig="1015" w14:anchorId="693C9F40">
                <v:shape id="_x0000_i1211" type="#_x0000_t75" style="width:56.95pt;height:50.25pt" o:ole="">
                  <v:imagedata r:id="rId19" o:title=""/>
                </v:shape>
                <o:OLEObject Type="Embed" ProgID="ChemDraw.Document.6.0" ShapeID="_x0000_i1211" DrawAspect="Content" ObjectID="_1559453792" r:id="rId20"/>
              </w:object>
            </w:r>
          </w:p>
        </w:tc>
        <w:tc>
          <w:tcPr>
            <w:tcW w:w="2768" w:type="dxa"/>
          </w:tcPr>
          <w:p w14:paraId="13631AEC" w14:textId="77777777" w:rsidR="007B10D3" w:rsidRDefault="007B10D3" w:rsidP="007B10D3">
            <w:pPr>
              <w:spacing w:after="0"/>
            </w:pPr>
            <w:r>
              <w:t>amino acids</w:t>
            </w:r>
          </w:p>
        </w:tc>
        <w:tc>
          <w:tcPr>
            <w:tcW w:w="2700" w:type="dxa"/>
          </w:tcPr>
          <w:p w14:paraId="5C0C90D8" w14:textId="30C38E7C" w:rsidR="007B10D3" w:rsidRDefault="007B10D3" w:rsidP="007B10D3">
            <w:pPr>
              <w:spacing w:after="0"/>
            </w:pPr>
            <w:r w:rsidRPr="00C0647B">
              <w:t xml:space="preserve">Monomers </w:t>
            </w:r>
            <w:r>
              <w:t xml:space="preserve">used in </w:t>
            </w:r>
            <w:r w:rsidRPr="00C0647B">
              <w:t>proteins</w:t>
            </w:r>
          </w:p>
        </w:tc>
      </w:tr>
      <w:tr w:rsidR="007B10D3" w14:paraId="22B4A70C" w14:textId="77777777" w:rsidTr="00AA70A1">
        <w:trPr>
          <w:trHeight w:val="227"/>
        </w:trPr>
        <w:tc>
          <w:tcPr>
            <w:tcW w:w="3592" w:type="dxa"/>
          </w:tcPr>
          <w:p w14:paraId="31DFB860" w14:textId="77777777" w:rsidR="007B10D3" w:rsidRDefault="007B10D3" w:rsidP="007B10D3">
            <w:pPr>
              <w:spacing w:after="0"/>
              <w:jc w:val="center"/>
            </w:pPr>
            <w:r>
              <w:object w:dxaOrig="864" w:dyaOrig="734" w14:anchorId="55B64A6B">
                <v:shape id="_x0000_i1212" type="#_x0000_t75" style="width:43.55pt;height:36.85pt" o:ole="">
                  <v:imagedata r:id="rId21" o:title=""/>
                </v:shape>
                <o:OLEObject Type="Embed" ProgID="ChemDraw.Document.6.0" ShapeID="_x0000_i1212" DrawAspect="Content" ObjectID="_1559453793" r:id="rId22"/>
              </w:object>
            </w:r>
          </w:p>
        </w:tc>
        <w:tc>
          <w:tcPr>
            <w:tcW w:w="2768" w:type="dxa"/>
          </w:tcPr>
          <w:p w14:paraId="6EB1008E" w14:textId="403A0DC0" w:rsidR="007B10D3" w:rsidRDefault="007B10D3" w:rsidP="007B10D3">
            <w:pPr>
              <w:spacing w:after="0"/>
            </w:pPr>
            <w:r>
              <w:t>alkenes</w:t>
            </w:r>
          </w:p>
        </w:tc>
        <w:tc>
          <w:tcPr>
            <w:tcW w:w="2700" w:type="dxa"/>
          </w:tcPr>
          <w:p w14:paraId="176F44F2" w14:textId="4A11F930" w:rsidR="007B10D3" w:rsidRDefault="007B10D3" w:rsidP="007B10D3">
            <w:pPr>
              <w:spacing w:after="0"/>
            </w:pPr>
            <w:r w:rsidRPr="00C0647B">
              <w:t>Typical monomers of non-natural polymers</w:t>
            </w:r>
          </w:p>
        </w:tc>
      </w:tr>
      <w:tr w:rsidR="007B10D3" w14:paraId="24D8ABF0" w14:textId="77777777" w:rsidTr="00AA70A1">
        <w:trPr>
          <w:trHeight w:val="227"/>
        </w:trPr>
        <w:tc>
          <w:tcPr>
            <w:tcW w:w="3592" w:type="dxa"/>
          </w:tcPr>
          <w:p w14:paraId="07793481" w14:textId="77777777" w:rsidR="007B10D3" w:rsidRDefault="007B10D3" w:rsidP="007B10D3">
            <w:pPr>
              <w:spacing w:after="0"/>
              <w:jc w:val="center"/>
            </w:pPr>
            <w:r>
              <w:object w:dxaOrig="1042" w:dyaOrig="958" w14:anchorId="4D51C17D">
                <v:shape id="_x0000_i1213" type="#_x0000_t75" style="width:51.9pt;height:47.7pt" o:ole="">
                  <v:imagedata r:id="rId23" o:title=""/>
                </v:shape>
                <o:OLEObject Type="Embed" ProgID="ChemDraw.Document.6.0" ShapeID="_x0000_i1213" DrawAspect="Content" ObjectID="_1559453794" r:id="rId24"/>
              </w:object>
            </w:r>
          </w:p>
        </w:tc>
        <w:tc>
          <w:tcPr>
            <w:tcW w:w="2768" w:type="dxa"/>
          </w:tcPr>
          <w:p w14:paraId="4FDFF4BB" w14:textId="77777777" w:rsidR="007B10D3" w:rsidRDefault="007B10D3" w:rsidP="007B10D3">
            <w:pPr>
              <w:spacing w:after="0"/>
            </w:pPr>
            <w:r>
              <w:t>lactic acid</w:t>
            </w:r>
          </w:p>
        </w:tc>
        <w:tc>
          <w:tcPr>
            <w:tcW w:w="2700" w:type="dxa"/>
          </w:tcPr>
          <w:p w14:paraId="5DBC88CB" w14:textId="0254C5A7" w:rsidR="007B10D3" w:rsidRDefault="007B10D3" w:rsidP="00AA70A1">
            <w:pPr>
              <w:spacing w:after="0"/>
            </w:pPr>
            <w:r w:rsidRPr="00C0647B">
              <w:t>Chiral molecul</w:t>
            </w:r>
            <w:r w:rsidR="00AA70A1">
              <w:t xml:space="preserve">es used to make </w:t>
            </w:r>
            <w:proofErr w:type="spellStart"/>
            <w:r w:rsidR="00AA70A1">
              <w:t>polylactic</w:t>
            </w:r>
            <w:proofErr w:type="spellEnd"/>
            <w:r w:rsidR="00AA70A1">
              <w:t xml:space="preserve"> acids, </w:t>
            </w:r>
            <w:r w:rsidRPr="00C0647B">
              <w:t>a biodegradable polymer</w:t>
            </w:r>
          </w:p>
        </w:tc>
      </w:tr>
      <w:tr w:rsidR="007B10D3" w14:paraId="5EFEDE0A" w14:textId="77777777" w:rsidTr="00AA70A1">
        <w:trPr>
          <w:trHeight w:val="227"/>
        </w:trPr>
        <w:tc>
          <w:tcPr>
            <w:tcW w:w="3592" w:type="dxa"/>
          </w:tcPr>
          <w:p w14:paraId="2748E803" w14:textId="77777777" w:rsidR="007B10D3" w:rsidRPr="00C86290" w:rsidRDefault="007B10D3" w:rsidP="007B10D3">
            <w:pPr>
              <w:spacing w:after="0"/>
              <w:jc w:val="center"/>
              <w:rPr>
                <w:vertAlign w:val="subscript"/>
              </w:rPr>
            </w:pPr>
            <w:r>
              <w:t>Ca</w:t>
            </w:r>
            <w:r>
              <w:rPr>
                <w:vertAlign w:val="subscript"/>
              </w:rPr>
              <w:t>5</w:t>
            </w:r>
            <w:r>
              <w:t>(OH)(PO</w:t>
            </w:r>
            <w:r>
              <w:rPr>
                <w:vertAlign w:val="subscript"/>
              </w:rPr>
              <w:t>4</w:t>
            </w:r>
            <w:r>
              <w:t>)</w:t>
            </w:r>
            <w:r>
              <w:rPr>
                <w:vertAlign w:val="subscript"/>
              </w:rPr>
              <w:t>3</w:t>
            </w:r>
          </w:p>
        </w:tc>
        <w:tc>
          <w:tcPr>
            <w:tcW w:w="2768" w:type="dxa"/>
          </w:tcPr>
          <w:p w14:paraId="32F97C0E" w14:textId="5AEC228A" w:rsidR="007B10D3" w:rsidRDefault="007B10D3" w:rsidP="007B10D3">
            <w:pPr>
              <w:spacing w:after="0"/>
            </w:pPr>
            <w:proofErr w:type="spellStart"/>
            <w:r w:rsidRPr="006F5A3B">
              <w:t>nano</w:t>
            </w:r>
            <w:proofErr w:type="spellEnd"/>
            <w:r w:rsidRPr="006F5A3B">
              <w:t>-hydroxyapatite</w:t>
            </w:r>
          </w:p>
        </w:tc>
        <w:tc>
          <w:tcPr>
            <w:tcW w:w="2700" w:type="dxa"/>
          </w:tcPr>
          <w:p w14:paraId="2318F9CC" w14:textId="77777777" w:rsidR="007B10D3" w:rsidRDefault="007B10D3" w:rsidP="007B10D3">
            <w:pPr>
              <w:spacing w:after="0"/>
            </w:pPr>
            <w:r w:rsidRPr="00C0647B">
              <w:t>Crystalline form of calcium phosphate</w:t>
            </w:r>
            <w:r w:rsidR="00AA70A1">
              <w:t>.</w:t>
            </w:r>
          </w:p>
          <w:p w14:paraId="2818EB12" w14:textId="760CC7EF" w:rsidR="00AA70A1" w:rsidRDefault="00AA70A1" w:rsidP="007B10D3">
            <w:pPr>
              <w:spacing w:after="0"/>
            </w:pPr>
            <w:r w:rsidRPr="00C0647B">
              <w:t>A mineral that degrade</w:t>
            </w:r>
            <w:r>
              <w:t>s</w:t>
            </w:r>
            <w:r w:rsidRPr="00C0647B">
              <w:t xml:space="preserve"> to give calcium and phosphate ions</w:t>
            </w:r>
          </w:p>
        </w:tc>
      </w:tr>
      <w:tr w:rsidR="007B10D3" w14:paraId="57F3A027" w14:textId="77777777" w:rsidTr="00AA70A1">
        <w:trPr>
          <w:trHeight w:val="227"/>
        </w:trPr>
        <w:tc>
          <w:tcPr>
            <w:tcW w:w="3592" w:type="dxa"/>
          </w:tcPr>
          <w:p w14:paraId="729910ED" w14:textId="77777777" w:rsidR="007B10D3" w:rsidRPr="00C86290" w:rsidRDefault="007B10D3" w:rsidP="007B10D3">
            <w:pPr>
              <w:spacing w:after="0"/>
              <w:jc w:val="center"/>
              <w:rPr>
                <w:vertAlign w:val="subscript"/>
              </w:rPr>
            </w:pPr>
            <w:r>
              <w:t>Ca</w:t>
            </w:r>
            <w:r>
              <w:rPr>
                <w:vertAlign w:val="subscript"/>
              </w:rPr>
              <w:t>3</w:t>
            </w:r>
            <w:r>
              <w:t>(PO</w:t>
            </w:r>
            <w:r>
              <w:rPr>
                <w:vertAlign w:val="subscript"/>
              </w:rPr>
              <w:t>4</w:t>
            </w:r>
            <w:r>
              <w:t>)</w:t>
            </w:r>
            <w:r>
              <w:rPr>
                <w:vertAlign w:val="subscript"/>
              </w:rPr>
              <w:t>2</w:t>
            </w:r>
          </w:p>
        </w:tc>
        <w:tc>
          <w:tcPr>
            <w:tcW w:w="2768" w:type="dxa"/>
          </w:tcPr>
          <w:p w14:paraId="752B587E" w14:textId="5B40AD24" w:rsidR="007B10D3" w:rsidRDefault="007B10D3" w:rsidP="007B10D3">
            <w:pPr>
              <w:spacing w:after="0"/>
            </w:pPr>
            <w:r>
              <w:t>calcium phosphate</w:t>
            </w:r>
          </w:p>
        </w:tc>
        <w:tc>
          <w:tcPr>
            <w:tcW w:w="2700" w:type="dxa"/>
          </w:tcPr>
          <w:p w14:paraId="1AEED87B" w14:textId="20B97FD6" w:rsidR="007B10D3" w:rsidRDefault="00AA70A1" w:rsidP="00AA70A1">
            <w:pPr>
              <w:spacing w:after="0"/>
            </w:pPr>
            <w:r>
              <w:t>A</w:t>
            </w:r>
            <w:r w:rsidRPr="00C0647B">
              <w:t xml:space="preserve"> building block of bones and teeth</w:t>
            </w:r>
          </w:p>
        </w:tc>
      </w:tr>
      <w:tr w:rsidR="007B10D3" w14:paraId="351EF6B1" w14:textId="77777777" w:rsidTr="00AA70A1">
        <w:trPr>
          <w:trHeight w:val="227"/>
        </w:trPr>
        <w:tc>
          <w:tcPr>
            <w:tcW w:w="3592" w:type="dxa"/>
          </w:tcPr>
          <w:p w14:paraId="3853DE39" w14:textId="77777777" w:rsidR="007B10D3" w:rsidRDefault="007B10D3" w:rsidP="007B10D3">
            <w:pPr>
              <w:spacing w:after="0"/>
              <w:jc w:val="center"/>
            </w:pPr>
            <w:r>
              <w:t>F</w:t>
            </w:r>
            <w:r w:rsidRPr="00C86290">
              <w:rPr>
                <w:vertAlign w:val="superscript"/>
              </w:rPr>
              <w:t>−</w:t>
            </w:r>
          </w:p>
        </w:tc>
        <w:tc>
          <w:tcPr>
            <w:tcW w:w="2768" w:type="dxa"/>
          </w:tcPr>
          <w:p w14:paraId="0480F352" w14:textId="09166598" w:rsidR="007B10D3" w:rsidRDefault="007B10D3" w:rsidP="007B10D3">
            <w:pPr>
              <w:spacing w:after="0"/>
            </w:pPr>
            <w:r>
              <w:rPr>
                <w:rStyle w:val="st"/>
              </w:rPr>
              <w:t>Fluoride</w:t>
            </w:r>
          </w:p>
        </w:tc>
        <w:tc>
          <w:tcPr>
            <w:tcW w:w="2700" w:type="dxa"/>
          </w:tcPr>
          <w:p w14:paraId="6203569F" w14:textId="3869F6B9" w:rsidR="007B10D3" w:rsidRPr="00C263F1" w:rsidRDefault="00AA70A1" w:rsidP="007B10D3">
            <w:pPr>
              <w:spacing w:after="0"/>
              <w:rPr>
                <w:sz w:val="2"/>
              </w:rPr>
            </w:pPr>
            <w:r w:rsidRPr="00AA70A1">
              <w:t xml:space="preserve">Traditionally used for </w:t>
            </w:r>
            <w:proofErr w:type="spellStart"/>
            <w:r w:rsidRPr="00AA70A1">
              <w:t>remineralising</w:t>
            </w:r>
            <w:proofErr w:type="spellEnd"/>
            <w:r w:rsidRPr="00AA70A1">
              <w:t xml:space="preserve"> teeth</w:t>
            </w:r>
          </w:p>
        </w:tc>
      </w:tr>
    </w:tbl>
    <w:p w14:paraId="79961E55" w14:textId="77777777" w:rsidR="00DC33C6" w:rsidRPr="00C263F1" w:rsidRDefault="00DC33C6" w:rsidP="00C263F1">
      <w:pPr>
        <w:rPr>
          <w:sz w:val="2"/>
        </w:rPr>
      </w:pPr>
    </w:p>
    <w:sectPr w:rsidR="00DC33C6" w:rsidRPr="00C263F1" w:rsidSect="00AA70A1">
      <w:footerReference w:type="default" r:id="rId25"/>
      <w:headerReference w:type="first" r:id="rId26"/>
      <w:footerReference w:type="first" r:id="rId27"/>
      <w:type w:val="continuous"/>
      <w:pgSz w:w="11906" w:h="16838"/>
      <w:pgMar w:top="993"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C275B" w14:textId="60021202" w:rsidR="00E40CCC" w:rsidRDefault="00E40CCC" w:rsidP="00E40CCC">
    <w:pPr>
      <w:pStyle w:val="Footer"/>
      <w:jc w:val="right"/>
    </w:pPr>
    <w:r>
      <w:t xml:space="preserve">Page </w:t>
    </w:r>
    <w:r>
      <w:fldChar w:fldCharType="begin"/>
    </w:r>
    <w:r>
      <w:instrText xml:space="preserve"> PAGE   \* MERGEFORMAT </w:instrText>
    </w:r>
    <w:r>
      <w:fldChar w:fldCharType="separate"/>
    </w:r>
    <w:r w:rsidR="00AA70A1">
      <w:rPr>
        <w:noProof/>
      </w:rPr>
      <w:t>2</w:t>
    </w:r>
    <w:r>
      <w:fldChar w:fldCharType="end"/>
    </w:r>
    <w:r>
      <w:t xml:space="preserve"> of </w:t>
    </w:r>
    <w:r w:rsidR="00A443B0">
      <w:fldChar w:fldCharType="begin"/>
    </w:r>
    <w:r w:rsidR="00A443B0">
      <w:instrText xml:space="preserve"> NUMPAGES   \* MERGEFORMAT </w:instrText>
    </w:r>
    <w:r w:rsidR="00A443B0">
      <w:fldChar w:fldCharType="separate"/>
    </w:r>
    <w:r w:rsidR="00AA70A1">
      <w:rPr>
        <w:noProof/>
      </w:rPr>
      <w:t>2</w:t>
    </w:r>
    <w:r w:rsidR="00A443B0">
      <w:rPr>
        <w:noProof/>
      </w:rPr>
      <w:fldChar w:fldCharType="end"/>
    </w:r>
  </w:p>
  <w:p w14:paraId="054408F2" w14:textId="286EB82C" w:rsidR="006F6F73" w:rsidRDefault="001D1E2A" w:rsidP="00E40CCC">
    <w:pPr>
      <w:pStyle w:val="Footer"/>
      <w:jc w:val="right"/>
    </w:pPr>
    <w:r>
      <w:sym w:font="Symbol" w:char="F0E3"/>
    </w:r>
    <w:r>
      <w:t xml:space="preserve"> Royal Society of Chemistry</w:t>
    </w:r>
    <w:r w:rsidR="00723F23">
      <w:tab/>
    </w:r>
    <w:r w:rsidR="00857888">
      <w:tab/>
    </w:r>
    <w:r>
      <w:t>R</w:t>
    </w:r>
    <w:r w:rsidRPr="00F62417">
      <w:t>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C35CA" w14:textId="4E908940" w:rsidR="00E40CCC" w:rsidRDefault="00E40CCC" w:rsidP="00E40CCC">
    <w:pPr>
      <w:pStyle w:val="Footer"/>
      <w:jc w:val="right"/>
    </w:pPr>
    <w:r>
      <w:t xml:space="preserve">Page </w:t>
    </w:r>
    <w:r>
      <w:fldChar w:fldCharType="begin"/>
    </w:r>
    <w:r>
      <w:instrText xml:space="preserve"> PAGE   \* MERGEFORMAT </w:instrText>
    </w:r>
    <w:r>
      <w:fldChar w:fldCharType="separate"/>
    </w:r>
    <w:r w:rsidR="00A443B0">
      <w:rPr>
        <w:noProof/>
      </w:rPr>
      <w:t>1</w:t>
    </w:r>
    <w:r>
      <w:fldChar w:fldCharType="end"/>
    </w:r>
    <w:r>
      <w:t xml:space="preserve"> of </w:t>
    </w:r>
    <w:fldSimple w:instr=" NUMPAGES   \* MERGEFORMAT ">
      <w:r w:rsidR="00A443B0">
        <w:rPr>
          <w:noProof/>
        </w:rPr>
        <w:t>1</w:t>
      </w:r>
    </w:fldSimple>
  </w:p>
  <w:p w14:paraId="054408F4" w14:textId="6EECAA3F" w:rsidR="00E15396" w:rsidRDefault="00520BDA" w:rsidP="00E40CCC">
    <w:pPr>
      <w:pStyle w:val="Footer"/>
      <w:tabs>
        <w:tab w:val="clear" w:pos="4513"/>
      </w:tabs>
      <w:jc w:val="right"/>
    </w:pPr>
    <w:r>
      <w:sym w:font="Symbol" w:char="F0E3"/>
    </w:r>
    <w:r>
      <w:t xml:space="preserve"> Royal Society of Chemistry</w:t>
    </w:r>
    <w:r>
      <w:tab/>
    </w:r>
    <w:r w:rsidR="00E15396">
      <w:t>R</w:t>
    </w:r>
    <w:r w:rsidR="00E15396" w:rsidRPr="00F62417">
      <w:t>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9" name="Picture 9"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B8EB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EEA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223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98EF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C8C9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C466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D637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88A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846D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A029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939AE"/>
    <w:multiLevelType w:val="hybridMultilevel"/>
    <w:tmpl w:val="F906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CF4CAF"/>
    <w:multiLevelType w:val="hybridMultilevel"/>
    <w:tmpl w:val="512EB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07832F4"/>
    <w:multiLevelType w:val="hybridMultilevel"/>
    <w:tmpl w:val="11B6E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7E601A"/>
    <w:multiLevelType w:val="hybridMultilevel"/>
    <w:tmpl w:val="282ED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B105F5"/>
    <w:multiLevelType w:val="hybridMultilevel"/>
    <w:tmpl w:val="8C921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4"/>
  </w:num>
  <w:num w:numId="3">
    <w:abstractNumId w:val="12"/>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8"/>
  </w:num>
  <w:num w:numId="16">
    <w:abstractNumId w:val="11"/>
  </w:num>
  <w:num w:numId="17">
    <w:abstractNumId w:val="16"/>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709BF"/>
    <w:rsid w:val="000B451F"/>
    <w:rsid w:val="000D3D40"/>
    <w:rsid w:val="000D440E"/>
    <w:rsid w:val="0010603F"/>
    <w:rsid w:val="00112D04"/>
    <w:rsid w:val="001167A2"/>
    <w:rsid w:val="00165309"/>
    <w:rsid w:val="00170457"/>
    <w:rsid w:val="0018383B"/>
    <w:rsid w:val="001B7EB7"/>
    <w:rsid w:val="001D1E2A"/>
    <w:rsid w:val="001D7818"/>
    <w:rsid w:val="001E0F30"/>
    <w:rsid w:val="001E2D76"/>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F0461"/>
    <w:rsid w:val="003019B6"/>
    <w:rsid w:val="003260A5"/>
    <w:rsid w:val="00334EAD"/>
    <w:rsid w:val="00343CBA"/>
    <w:rsid w:val="00361A0D"/>
    <w:rsid w:val="003B3451"/>
    <w:rsid w:val="003C026F"/>
    <w:rsid w:val="003D3F02"/>
    <w:rsid w:val="003D54D0"/>
    <w:rsid w:val="003D57D3"/>
    <w:rsid w:val="003D6B89"/>
    <w:rsid w:val="003E2810"/>
    <w:rsid w:val="003F24EB"/>
    <w:rsid w:val="003F631F"/>
    <w:rsid w:val="003F79F1"/>
    <w:rsid w:val="00400C63"/>
    <w:rsid w:val="00413366"/>
    <w:rsid w:val="00424F9A"/>
    <w:rsid w:val="00427B37"/>
    <w:rsid w:val="00437020"/>
    <w:rsid w:val="00460F13"/>
    <w:rsid w:val="004634FA"/>
    <w:rsid w:val="004723CA"/>
    <w:rsid w:val="00490BB0"/>
    <w:rsid w:val="00496E2E"/>
    <w:rsid w:val="004A2D91"/>
    <w:rsid w:val="004A32F0"/>
    <w:rsid w:val="004B204F"/>
    <w:rsid w:val="004B2F65"/>
    <w:rsid w:val="004C6CC9"/>
    <w:rsid w:val="005065D4"/>
    <w:rsid w:val="00510295"/>
    <w:rsid w:val="00515A5A"/>
    <w:rsid w:val="00520BDA"/>
    <w:rsid w:val="00527B54"/>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D3E26"/>
    <w:rsid w:val="006F6F73"/>
    <w:rsid w:val="00707FDD"/>
    <w:rsid w:val="00714A35"/>
    <w:rsid w:val="00723F23"/>
    <w:rsid w:val="007358E3"/>
    <w:rsid w:val="0075451A"/>
    <w:rsid w:val="00755C7E"/>
    <w:rsid w:val="007667DD"/>
    <w:rsid w:val="00784400"/>
    <w:rsid w:val="007B10D3"/>
    <w:rsid w:val="007C1813"/>
    <w:rsid w:val="00805114"/>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D42D7"/>
    <w:rsid w:val="008E2859"/>
    <w:rsid w:val="0090405B"/>
    <w:rsid w:val="00915C84"/>
    <w:rsid w:val="0092331B"/>
    <w:rsid w:val="00923E53"/>
    <w:rsid w:val="009328DD"/>
    <w:rsid w:val="00972310"/>
    <w:rsid w:val="00982F78"/>
    <w:rsid w:val="009875B2"/>
    <w:rsid w:val="00987FC3"/>
    <w:rsid w:val="009C5777"/>
    <w:rsid w:val="009D4E77"/>
    <w:rsid w:val="009F0DFC"/>
    <w:rsid w:val="009F3445"/>
    <w:rsid w:val="00A36CB9"/>
    <w:rsid w:val="00A42400"/>
    <w:rsid w:val="00A443B0"/>
    <w:rsid w:val="00A50EEB"/>
    <w:rsid w:val="00A52886"/>
    <w:rsid w:val="00A75F4C"/>
    <w:rsid w:val="00A9584B"/>
    <w:rsid w:val="00AA70A1"/>
    <w:rsid w:val="00AB1738"/>
    <w:rsid w:val="00AE621F"/>
    <w:rsid w:val="00AF3542"/>
    <w:rsid w:val="00AF776F"/>
    <w:rsid w:val="00B20041"/>
    <w:rsid w:val="00B57B2A"/>
    <w:rsid w:val="00BA512C"/>
    <w:rsid w:val="00BB1F22"/>
    <w:rsid w:val="00C17DDC"/>
    <w:rsid w:val="00C263F1"/>
    <w:rsid w:val="00C3053B"/>
    <w:rsid w:val="00CD10BF"/>
    <w:rsid w:val="00D174D9"/>
    <w:rsid w:val="00D20A6A"/>
    <w:rsid w:val="00D34A04"/>
    <w:rsid w:val="00D5111B"/>
    <w:rsid w:val="00D60214"/>
    <w:rsid w:val="00D62F8A"/>
    <w:rsid w:val="00D71A1A"/>
    <w:rsid w:val="00D90054"/>
    <w:rsid w:val="00DC30F3"/>
    <w:rsid w:val="00DC33C6"/>
    <w:rsid w:val="00DC64EC"/>
    <w:rsid w:val="00DD6FD3"/>
    <w:rsid w:val="00E15396"/>
    <w:rsid w:val="00E160E0"/>
    <w:rsid w:val="00E17C67"/>
    <w:rsid w:val="00E331A7"/>
    <w:rsid w:val="00E40CCC"/>
    <w:rsid w:val="00E42AF7"/>
    <w:rsid w:val="00E47850"/>
    <w:rsid w:val="00E47D2B"/>
    <w:rsid w:val="00E5491A"/>
    <w:rsid w:val="00E61773"/>
    <w:rsid w:val="00E86125"/>
    <w:rsid w:val="00EA0301"/>
    <w:rsid w:val="00EA0DFF"/>
    <w:rsid w:val="00EB1D7C"/>
    <w:rsid w:val="00EC0B8E"/>
    <w:rsid w:val="00ED609E"/>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qFormat/>
    <w:rsid w:val="003D57D3"/>
    <w:rPr>
      <w:i/>
      <w:iCs/>
    </w:rPr>
  </w:style>
  <w:style w:type="character" w:customStyle="1" w:styleId="st">
    <w:name w:val="st"/>
    <w:basedOn w:val="DefaultParagraphFont"/>
    <w:rsid w:val="00C26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oleObject" Target="embeddings/oleObject4.bin"/><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image" Target="media/image4.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24" Type="http://schemas.openxmlformats.org/officeDocument/2006/relationships/oleObject" Target="embeddings/oleObject7.bin"/><Relationship Id="rId5"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fontTable" Target="fontTable.xml"/><Relationship Id="rId10" Type="http://schemas.openxmlformats.org/officeDocument/2006/relationships/hyperlink" Target="http://rsc.li/EiC417-medical-plastics" TargetMode="External"/><Relationship Id="rId19" Type="http://schemas.openxmlformats.org/officeDocument/2006/relationships/image" Target="media/image5.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902427AC-40FE-4BBA-B06D-BC332C186A75}">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27d643f5-4560-4eff-9f48-d0fe6b2bec2d"/>
    <ds:schemaRef ds:uri="http://www.w3.org/XML/1998/namespace"/>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Working with multiple representations</vt:lpstr>
    </vt:vector>
  </TitlesOfParts>
  <Company>Royal Society of Chemistry</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with multiple representations – teacher notes</dc:title>
  <dc:subject>Demonstration silver acetylide as a contact explosive</dc:subject>
  <dc:creator>Royal Society of Chemistry</dc:creator>
  <dc:description>To accompany the article 'Body, heal thyself' from Education in Chemistry, July 2017.</dc:description>
  <cp:lastModifiedBy>David Sait</cp:lastModifiedBy>
  <cp:revision>5</cp:revision>
  <dcterms:created xsi:type="dcterms:W3CDTF">2017-06-20T07:41:00Z</dcterms:created>
  <dcterms:modified xsi:type="dcterms:W3CDTF">2017-06-20T07:49:00Z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