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8F455" w14:textId="3D8FC526" w:rsidR="00F1760E" w:rsidRDefault="00F1760E" w:rsidP="00B134EF">
      <w:pPr>
        <w:pStyle w:val="Leadparagraph"/>
        <w:rPr>
          <w:rStyle w:val="LeadparagraphChar"/>
          <w:rFonts w:eastAsiaTheme="majorEastAsia" w:cstheme="majorBidi"/>
          <w:b/>
          <w:bCs/>
          <w:color w:val="2C4D67"/>
          <w:sz w:val="30"/>
          <w:szCs w:val="30"/>
        </w:rPr>
      </w:pPr>
      <w:r w:rsidRPr="00F1760E">
        <w:rPr>
          <w:rFonts w:eastAsiaTheme="majorEastAsia" w:cstheme="majorBidi"/>
          <w:bCs/>
          <w:color w:val="2C4D67"/>
          <w:sz w:val="30"/>
          <w:szCs w:val="30"/>
        </w:rPr>
        <w:t>Decomposition of hydrogen peroxide</w:t>
      </w:r>
      <w:r w:rsidRPr="00F1760E">
        <w:rPr>
          <w:rStyle w:val="LeadparagraphChar"/>
          <w:rFonts w:eastAsiaTheme="majorEastAsia" w:cstheme="majorBidi"/>
          <w:b/>
          <w:bCs/>
          <w:color w:val="2C4D67"/>
          <w:sz w:val="30"/>
          <w:szCs w:val="30"/>
        </w:rPr>
        <w:t xml:space="preserve"> </w:t>
      </w:r>
    </w:p>
    <w:p w14:paraId="07CA3174" w14:textId="13638CB3" w:rsidR="009C52E9" w:rsidRDefault="009875B2" w:rsidP="00FE0087">
      <w:pPr>
        <w:pStyle w:val="Leadparagraph"/>
        <w:rPr>
          <w:rFonts w:asciiTheme="minorHAnsi" w:hAnsiTheme="minorHAnsi" w:cstheme="minorBidi"/>
          <w:i/>
          <w:sz w:val="22"/>
          <w:szCs w:val="22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F1760E">
        <w:rPr>
          <w:rStyle w:val="LeadparagraphChar"/>
        </w:rPr>
        <w:t>November</w:t>
      </w:r>
      <w:r w:rsidRPr="009875B2">
        <w:rPr>
          <w:rStyle w:val="LeadparagraphChar"/>
        </w:rPr>
        <w:t xml:space="preserve"> 2017</w:t>
      </w:r>
      <w:r>
        <w:rPr>
          <w:rStyle w:val="LeadparagraphChar"/>
          <w:b/>
        </w:rPr>
        <w:br/>
      </w:r>
      <w:r w:rsidR="004947AC">
        <w:fldChar w:fldCharType="begin"/>
      </w:r>
      <w:r w:rsidR="004947AC">
        <w:instrText>HYPERLINK "http://rsc.li/EiC617-catalysts-get-helping-hands"</w:instrText>
      </w:r>
      <w:r w:rsidR="004947AC">
        <w:fldChar w:fldCharType="separate"/>
      </w:r>
      <w:r w:rsidR="00FE0087" w:rsidRPr="00586957">
        <w:rPr>
          <w:rStyle w:val="Hyperlink"/>
          <w:b w:val="0"/>
        </w:rPr>
        <w:t>rsc.li/EiC617-catalysts-get-helping-hands</w:t>
      </w:r>
      <w:r w:rsidR="004947AC">
        <w:rPr>
          <w:rStyle w:val="Hyperlink"/>
          <w:b w:val="0"/>
        </w:rPr>
        <w:fldChar w:fldCharType="end"/>
      </w:r>
      <w:bookmarkStart w:id="0" w:name="_GoBack"/>
      <w:bookmarkEnd w:id="0"/>
    </w:p>
    <w:p w14:paraId="2A605CCB" w14:textId="6EEFF4E5" w:rsidR="00C01949" w:rsidRPr="00C01949" w:rsidRDefault="00C01949" w:rsidP="009C52E9">
      <w:pPr>
        <w:spacing w:after="0"/>
        <w:rPr>
          <w:rFonts w:asciiTheme="minorHAnsi" w:hAnsiTheme="minorHAnsi" w:cstheme="minorBidi"/>
          <w:b/>
          <w:sz w:val="22"/>
          <w:szCs w:val="22"/>
        </w:rPr>
      </w:pPr>
      <w:r>
        <w:rPr>
          <w:rFonts w:asciiTheme="minorHAnsi" w:hAnsiTheme="minorHAnsi" w:cstheme="minorBidi"/>
          <w:b/>
          <w:sz w:val="22"/>
          <w:szCs w:val="22"/>
        </w:rPr>
        <w:t xml:space="preserve">The ‘Elephant’s toothpaste’ demonstration, </w:t>
      </w:r>
      <w:r w:rsidRPr="00C01949">
        <w:rPr>
          <w:rFonts w:asciiTheme="minorHAnsi" w:hAnsiTheme="minorHAnsi" w:cstheme="minorBidi"/>
          <w:b/>
          <w:sz w:val="22"/>
          <w:szCs w:val="22"/>
        </w:rPr>
        <w:t>ages 11–14 and 14–16</w:t>
      </w:r>
    </w:p>
    <w:p w14:paraId="592EE2CA" w14:textId="77777777" w:rsidR="00C01949" w:rsidRPr="006A56D2" w:rsidRDefault="00C01949" w:rsidP="009C52E9">
      <w:pPr>
        <w:spacing w:after="0"/>
        <w:rPr>
          <w:rFonts w:asciiTheme="minorHAnsi" w:hAnsiTheme="minorHAnsi" w:cstheme="minorBidi"/>
          <w:i/>
          <w:sz w:val="22"/>
          <w:szCs w:val="22"/>
        </w:rPr>
      </w:pPr>
    </w:p>
    <w:p w14:paraId="72D7DE91" w14:textId="77777777" w:rsidR="009C52E9" w:rsidRPr="00045202" w:rsidRDefault="009C52E9" w:rsidP="009C52E9">
      <w:r w:rsidRPr="00045202">
        <w:t xml:space="preserve">The decomposition of hydrogen peroxide is a classic demonstration which can be </w:t>
      </w:r>
      <w:r>
        <w:t xml:space="preserve">used to compare </w:t>
      </w:r>
      <w:r w:rsidRPr="00045202">
        <w:t xml:space="preserve">catalyst effectiveness when </w:t>
      </w:r>
      <w:r>
        <w:t>time and</w:t>
      </w:r>
      <w:r w:rsidRPr="00045202">
        <w:t xml:space="preserve"> logistics mean a whole class</w:t>
      </w:r>
      <w:r>
        <w:t xml:space="preserve"> investigation is impractical. </w:t>
      </w:r>
      <w:r w:rsidRPr="00045202">
        <w:t xml:space="preserve">The reaction forms the basis of the </w:t>
      </w:r>
      <w:r>
        <w:t xml:space="preserve">demonstration known as </w:t>
      </w:r>
      <w:r w:rsidRPr="00045202">
        <w:t>‘elephan</w:t>
      </w:r>
      <w:r>
        <w:t>t’s toothpaste’. Mix h</w:t>
      </w:r>
      <w:r w:rsidRPr="00045202">
        <w:t xml:space="preserve">ydrogen peroxide in a measuring cylinder with washing up liquid and </w:t>
      </w:r>
      <w:r>
        <w:t xml:space="preserve">add a catalyst. </w:t>
      </w:r>
      <w:r w:rsidRPr="00045202">
        <w:t xml:space="preserve">The hydrogen peroxide decomposes to oxygen and water, producing bubbles which make the mixture shoot up the measuring cylinder.  </w:t>
      </w:r>
    </w:p>
    <w:p w14:paraId="5E82600D" w14:textId="77777777" w:rsidR="009C52E9" w:rsidRDefault="009C52E9" w:rsidP="009C52E9">
      <w:r w:rsidRPr="00045202">
        <w:t xml:space="preserve">Using the </w:t>
      </w:r>
      <w:r>
        <w:t xml:space="preserve">above </w:t>
      </w:r>
      <w:r w:rsidRPr="00045202">
        <w:t>article</w:t>
      </w:r>
      <w:r>
        <w:t>, ‘Catalysts get helping hands’</w:t>
      </w:r>
      <w:r w:rsidRPr="00045202">
        <w:t xml:space="preserve"> as a stimulus</w:t>
      </w:r>
      <w:r>
        <w:t>,</w:t>
      </w:r>
      <w:r w:rsidRPr="00045202">
        <w:t xml:space="preserve"> </w:t>
      </w:r>
      <w:r>
        <w:t>compare</w:t>
      </w:r>
      <w:r w:rsidRPr="00045202">
        <w:t xml:space="preserve"> traditional chemical catalysts </w:t>
      </w:r>
      <w:r>
        <w:t>(like p</w:t>
      </w:r>
      <w:r w:rsidRPr="00E67DC1">
        <w:t>otassium iodide</w:t>
      </w:r>
      <w:r>
        <w:t>, m</w:t>
      </w:r>
      <w:r w:rsidRPr="00E67DC1">
        <w:t>anganese dioxide</w:t>
      </w:r>
      <w:r>
        <w:t xml:space="preserve"> and iron(III)</w:t>
      </w:r>
      <w:r w:rsidRPr="00E67DC1">
        <w:t>oxide</w:t>
      </w:r>
      <w:r>
        <w:t>) and enzyme based catalysts found in y</w:t>
      </w:r>
      <w:r w:rsidRPr="00E67DC1">
        <w:t>east</w:t>
      </w:r>
      <w:r>
        <w:t>, l</w:t>
      </w:r>
      <w:r w:rsidRPr="00E67DC1">
        <w:t>ettuce</w:t>
      </w:r>
      <w:r>
        <w:t>, po</w:t>
      </w:r>
      <w:r w:rsidRPr="00E67DC1">
        <w:t>tato</w:t>
      </w:r>
      <w:r>
        <w:t>, l</w:t>
      </w:r>
      <w:r w:rsidRPr="00E67DC1">
        <w:t>iver</w:t>
      </w:r>
      <w:r>
        <w:t>, and b</w:t>
      </w:r>
      <w:r w:rsidRPr="00E67DC1">
        <w:t>lood</w:t>
      </w:r>
      <w:r>
        <w:t>.</w:t>
      </w:r>
    </w:p>
    <w:p w14:paraId="4AABCAD5" w14:textId="77777777" w:rsidR="009C52E9" w:rsidRPr="00045202" w:rsidRDefault="009C52E9" w:rsidP="009C52E9">
      <w:r>
        <w:t xml:space="preserve">Emphasise to </w:t>
      </w:r>
      <w:r w:rsidRPr="00045202">
        <w:t>pupils that the hydrogen peroxide is decomposing</w:t>
      </w:r>
      <w:r>
        <w:t xml:space="preserve"> without any catalyst</w:t>
      </w:r>
      <w:r w:rsidRPr="00045202">
        <w:t>,</w:t>
      </w:r>
      <w:r>
        <w:t xml:space="preserve"> but very slowly. </w:t>
      </w:r>
      <w:r w:rsidRPr="00045202">
        <w:t xml:space="preserve">the </w:t>
      </w:r>
      <w:r>
        <w:t>catalysts added just speed</w:t>
      </w:r>
      <w:r w:rsidRPr="00045202">
        <w:t xml:space="preserve"> it up. A </w:t>
      </w:r>
      <w:r>
        <w:t xml:space="preserve">common misconception is that </w:t>
      </w:r>
      <w:r w:rsidRPr="00045202">
        <w:t>added catalysts make the reaction happen, rather than making an existing reaction happen quicker (in this case, much quicker).  This demonstration also provides a useful opportunity</w:t>
      </w:r>
      <w:r>
        <w:t xml:space="preserve"> to revisit the test for oxygen:</w:t>
      </w:r>
      <w:r w:rsidRPr="00045202">
        <w:t xml:space="preserve"> a glowing splint placed near the top of the foam should relight.</w:t>
      </w:r>
    </w:p>
    <w:p w14:paraId="3B912DBD" w14:textId="77777777" w:rsidR="009C52E9" w:rsidRPr="00045202" w:rsidRDefault="009C52E9" w:rsidP="009C52E9">
      <w:r w:rsidRPr="00045202">
        <w:t>This demonstration is simple and effective</w:t>
      </w:r>
      <w:r>
        <w:t>,</w:t>
      </w:r>
      <w:r w:rsidRPr="00045202">
        <w:t xml:space="preserve"> but it is worth practising beforehand as hydrogen peroxide can be temperamental</w:t>
      </w:r>
      <w:r>
        <w:t>. Q</w:t>
      </w:r>
      <w:r w:rsidRPr="00045202">
        <w:t xml:space="preserve">uantities found in guidance documents may need adjusting depending on </w:t>
      </w:r>
      <w:r>
        <w:t>the age of your hydrogen peroxide and where it has been stored</w:t>
      </w:r>
      <w:r w:rsidRPr="00045202">
        <w:t>.</w:t>
      </w:r>
    </w:p>
    <w:p w14:paraId="4B9475C4" w14:textId="77777777" w:rsidR="009C52E9" w:rsidRPr="00045202" w:rsidRDefault="009C52E9" w:rsidP="009C52E9">
      <w:pPr>
        <w:rPr>
          <w:b/>
        </w:rPr>
      </w:pPr>
      <w:r w:rsidRPr="00045202">
        <w:rPr>
          <w:b/>
        </w:rPr>
        <w:t>Suggested lesson order</w:t>
      </w:r>
    </w:p>
    <w:p w14:paraId="1976AC55" w14:textId="77777777" w:rsidR="009C52E9" w:rsidRPr="00045202" w:rsidRDefault="009C52E9" w:rsidP="009C52E9">
      <w:pPr>
        <w:pStyle w:val="ListParagraph"/>
        <w:keepLines w:val="0"/>
        <w:numPr>
          <w:ilvl w:val="0"/>
          <w:numId w:val="28"/>
        </w:numPr>
        <w:spacing w:after="160" w:line="259" w:lineRule="auto"/>
      </w:pPr>
      <w:r w:rsidRPr="00045202">
        <w:t xml:space="preserve">Demonstrate the reaction and prompt pupils to suggest ways the </w:t>
      </w:r>
      <w:r>
        <w:t>best catalyst could be judged.</w:t>
      </w:r>
    </w:p>
    <w:p w14:paraId="78BE0155" w14:textId="77777777" w:rsidR="009C52E9" w:rsidRPr="00045202" w:rsidRDefault="009C52E9" w:rsidP="009C52E9">
      <w:pPr>
        <w:pStyle w:val="ListParagraph"/>
        <w:keepLines w:val="0"/>
        <w:numPr>
          <w:ilvl w:val="0"/>
          <w:numId w:val="28"/>
        </w:numPr>
        <w:spacing w:after="160" w:line="259" w:lineRule="auto"/>
      </w:pPr>
      <w:r w:rsidRPr="00045202">
        <w:t xml:space="preserve">Carry out the series of reactions with pupils recording their observations on the pupil sheet </w:t>
      </w:r>
      <w:r>
        <w:t xml:space="preserve">provided </w:t>
      </w:r>
      <w:r w:rsidRPr="00045202">
        <w:t>as you go along.</w:t>
      </w:r>
    </w:p>
    <w:p w14:paraId="2C460C85" w14:textId="77777777" w:rsidR="009C52E9" w:rsidRPr="00045202" w:rsidRDefault="009C52E9" w:rsidP="009C52E9">
      <w:pPr>
        <w:pStyle w:val="ListParagraph"/>
        <w:keepLines w:val="0"/>
        <w:numPr>
          <w:ilvl w:val="0"/>
          <w:numId w:val="28"/>
        </w:numPr>
        <w:spacing w:after="160" w:line="259" w:lineRule="auto"/>
      </w:pPr>
      <w:r w:rsidRPr="00045202">
        <w:t>Give pupils copies of the article ‘Catalysts get helping hands’ to help them complete the follow up questions</w:t>
      </w:r>
    </w:p>
    <w:p w14:paraId="165B20DD" w14:textId="77777777" w:rsidR="009C52E9" w:rsidRPr="00045202" w:rsidRDefault="009C52E9" w:rsidP="009C52E9">
      <w:r w:rsidRPr="00045202">
        <w:rPr>
          <w:b/>
        </w:rPr>
        <w:t>Further guidance</w:t>
      </w:r>
      <w:r w:rsidRPr="00045202">
        <w:t xml:space="preserve"> </w:t>
      </w:r>
    </w:p>
    <w:p w14:paraId="410869E5" w14:textId="5AB7190D" w:rsidR="009C52E9" w:rsidRPr="00095C5D" w:rsidRDefault="009C52E9" w:rsidP="009C52E9">
      <w:r w:rsidRPr="00095C5D">
        <w:rPr>
          <w:i/>
        </w:rPr>
        <w:t>The Decomposing hydrogen peroxide</w:t>
      </w:r>
      <w:r w:rsidRPr="00095C5D">
        <w:t xml:space="preserve"> article (</w:t>
      </w:r>
      <w:hyperlink r:id="rId10" w:history="1">
        <w:r w:rsidRPr="00586957">
          <w:rPr>
            <w:rStyle w:val="Hyperlink"/>
          </w:rPr>
          <w:t>rsc.li/</w:t>
        </w:r>
        <w:proofErr w:type="spellStart"/>
        <w:r w:rsidRPr="00586957">
          <w:rPr>
            <w:rStyle w:val="Hyperlink"/>
          </w:rPr>
          <w:t>hydrogenperoxidedemo</w:t>
        </w:r>
        <w:proofErr w:type="spellEnd"/>
      </w:hyperlink>
      <w:r w:rsidRPr="00095C5D">
        <w:t>) and Learn Chemistry (</w:t>
      </w:r>
      <w:hyperlink r:id="rId11" w:history="1">
        <w:r w:rsidRPr="00095C5D">
          <w:rPr>
            <w:rStyle w:val="Hyperlink"/>
          </w:rPr>
          <w:t>rsc.li/H2O2decompose</w:t>
        </w:r>
      </w:hyperlink>
      <w:r w:rsidRPr="00095C5D">
        <w:t xml:space="preserve">) give further guidance for this demonstration. Additionally, Learn Chemistry has a </w:t>
      </w:r>
      <w:r w:rsidRPr="00586957">
        <w:t>class practical resource for detecting the presence of enzymes</w:t>
      </w:r>
      <w:r w:rsidRPr="00095C5D">
        <w:t xml:space="preserve"> in liver, potato and celery: </w:t>
      </w:r>
      <w:hyperlink r:id="rId12" w:history="1">
        <w:r w:rsidRPr="00586957">
          <w:rPr>
            <w:rStyle w:val="Hyperlink"/>
          </w:rPr>
          <w:t>rsc.li/detecting-enzymes-practical</w:t>
        </w:r>
      </w:hyperlink>
      <w:r w:rsidRPr="00095C5D">
        <w:t>.</w:t>
      </w:r>
    </w:p>
    <w:p w14:paraId="508C1C2D" w14:textId="77777777" w:rsidR="00451D6C" w:rsidRDefault="00451D6C" w:rsidP="00451D6C"/>
    <w:p w14:paraId="2A21C90F" w14:textId="77777777" w:rsidR="00451D6C" w:rsidRDefault="00451D6C" w:rsidP="00451D6C"/>
    <w:p w14:paraId="6D2B0EB3" w14:textId="7FCCFDD2" w:rsidR="00451D6C" w:rsidRDefault="00451D6C" w:rsidP="00451D6C"/>
    <w:p w14:paraId="76324D1C" w14:textId="74AF9787" w:rsidR="00451D6C" w:rsidRDefault="00451D6C" w:rsidP="00451D6C"/>
    <w:p w14:paraId="1EBAEB71" w14:textId="67DE0E5A" w:rsidR="00451D6C" w:rsidRDefault="00451D6C" w:rsidP="00451D6C"/>
    <w:p w14:paraId="4CD98C27" w14:textId="295B2275" w:rsidR="00451D6C" w:rsidRDefault="00451D6C" w:rsidP="00451D6C"/>
    <w:p w14:paraId="34B4D16E" w14:textId="1B0B168B" w:rsidR="00AA66ED" w:rsidRPr="00EB1D7C" w:rsidRDefault="00AA66ED" w:rsidP="00451D6C"/>
    <w:sectPr w:rsidR="00AA66ED" w:rsidRPr="00EB1D7C" w:rsidSect="00E331A7"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44A2AB19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C52E9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9C52E9">
        <w:rPr>
          <w:noProof/>
        </w:rPr>
        <w:t>2</w:t>
      </w:r>
    </w:fldSimple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1030CC66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947AC">
      <w:rPr>
        <w:noProof/>
      </w:rPr>
      <w:t>1</w:t>
    </w:r>
    <w:r>
      <w:fldChar w:fldCharType="end"/>
    </w:r>
    <w:r>
      <w:t xml:space="preserve"> of </w:t>
    </w:r>
    <w:r w:rsidR="004947AC">
      <w:fldChar w:fldCharType="begin"/>
    </w:r>
    <w:r w:rsidR="004947AC">
      <w:instrText xml:space="preserve"> NUMPAGES   \* MERGEFORMAT </w:instrText>
    </w:r>
    <w:r w:rsidR="004947AC">
      <w:fldChar w:fldCharType="separate"/>
    </w:r>
    <w:r w:rsidR="004947AC">
      <w:rPr>
        <w:noProof/>
      </w:rPr>
      <w:t>1</w:t>
    </w:r>
    <w:r w:rsidR="004947AC">
      <w:rPr>
        <w:noProof/>
      </w:rPr>
      <w:fldChar w:fldCharType="end"/>
    </w:r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35703"/>
    <w:multiLevelType w:val="hybridMultilevel"/>
    <w:tmpl w:val="D012D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211E7"/>
    <w:multiLevelType w:val="hybridMultilevel"/>
    <w:tmpl w:val="E3D4B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306AEE"/>
    <w:multiLevelType w:val="hybridMultilevel"/>
    <w:tmpl w:val="F1E688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D252E"/>
    <w:multiLevelType w:val="hybridMultilevel"/>
    <w:tmpl w:val="36E20D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326D65"/>
    <w:multiLevelType w:val="hybridMultilevel"/>
    <w:tmpl w:val="9DD8F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946CF0"/>
    <w:multiLevelType w:val="hybridMultilevel"/>
    <w:tmpl w:val="9DD8F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71043"/>
    <w:multiLevelType w:val="hybridMultilevel"/>
    <w:tmpl w:val="EB8E54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D29E0"/>
    <w:multiLevelType w:val="hybridMultilevel"/>
    <w:tmpl w:val="7C286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A40B5"/>
    <w:multiLevelType w:val="hybridMultilevel"/>
    <w:tmpl w:val="CD8042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4"/>
  </w:num>
  <w:num w:numId="16">
    <w:abstractNumId w:val="13"/>
  </w:num>
  <w:num w:numId="17">
    <w:abstractNumId w:val="22"/>
  </w:num>
  <w:num w:numId="18">
    <w:abstractNumId w:val="18"/>
  </w:num>
  <w:num w:numId="19">
    <w:abstractNumId w:val="23"/>
  </w:num>
  <w:num w:numId="20">
    <w:abstractNumId w:val="27"/>
  </w:num>
  <w:num w:numId="21">
    <w:abstractNumId w:val="21"/>
  </w:num>
  <w:num w:numId="22">
    <w:abstractNumId w:val="17"/>
  </w:num>
  <w:num w:numId="23">
    <w:abstractNumId w:val="16"/>
  </w:num>
  <w:num w:numId="24">
    <w:abstractNumId w:val="26"/>
  </w:num>
  <w:num w:numId="25">
    <w:abstractNumId w:val="11"/>
  </w:num>
  <w:num w:numId="26">
    <w:abstractNumId w:val="25"/>
  </w:num>
  <w:num w:numId="27">
    <w:abstractNumId w:val="1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175CD"/>
    <w:rsid w:val="0002726D"/>
    <w:rsid w:val="000355C3"/>
    <w:rsid w:val="000709BF"/>
    <w:rsid w:val="000B0513"/>
    <w:rsid w:val="000D3D40"/>
    <w:rsid w:val="000D440E"/>
    <w:rsid w:val="0010603F"/>
    <w:rsid w:val="00112D04"/>
    <w:rsid w:val="001167A2"/>
    <w:rsid w:val="0013074B"/>
    <w:rsid w:val="00165309"/>
    <w:rsid w:val="00170457"/>
    <w:rsid w:val="0018383B"/>
    <w:rsid w:val="001A4CAE"/>
    <w:rsid w:val="001B7EB7"/>
    <w:rsid w:val="001D1E2A"/>
    <w:rsid w:val="001D7818"/>
    <w:rsid w:val="001E0F30"/>
    <w:rsid w:val="001E2D76"/>
    <w:rsid w:val="001F2D6F"/>
    <w:rsid w:val="001F589D"/>
    <w:rsid w:val="00200C3D"/>
    <w:rsid w:val="002032DC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B6D30"/>
    <w:rsid w:val="002C0301"/>
    <w:rsid w:val="002C4A08"/>
    <w:rsid w:val="002F0461"/>
    <w:rsid w:val="003019B6"/>
    <w:rsid w:val="003260A5"/>
    <w:rsid w:val="00334EAD"/>
    <w:rsid w:val="00343CBA"/>
    <w:rsid w:val="00361A0D"/>
    <w:rsid w:val="00371F4B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51D6C"/>
    <w:rsid w:val="00460F13"/>
    <w:rsid w:val="004634FA"/>
    <w:rsid w:val="004723CA"/>
    <w:rsid w:val="00490BB0"/>
    <w:rsid w:val="004947AC"/>
    <w:rsid w:val="00496E2E"/>
    <w:rsid w:val="004A248A"/>
    <w:rsid w:val="004A2D91"/>
    <w:rsid w:val="004A32F0"/>
    <w:rsid w:val="004B1E6C"/>
    <w:rsid w:val="004B204F"/>
    <w:rsid w:val="004B2F65"/>
    <w:rsid w:val="004C6CC9"/>
    <w:rsid w:val="005065D4"/>
    <w:rsid w:val="00510295"/>
    <w:rsid w:val="00515A5A"/>
    <w:rsid w:val="00520BDA"/>
    <w:rsid w:val="00527B54"/>
    <w:rsid w:val="0054664B"/>
    <w:rsid w:val="005516AC"/>
    <w:rsid w:val="0056407C"/>
    <w:rsid w:val="00586957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82755"/>
    <w:rsid w:val="006D3E26"/>
    <w:rsid w:val="006F6F73"/>
    <w:rsid w:val="0070347A"/>
    <w:rsid w:val="00707FDD"/>
    <w:rsid w:val="00714A35"/>
    <w:rsid w:val="00723F23"/>
    <w:rsid w:val="007358E3"/>
    <w:rsid w:val="007455C7"/>
    <w:rsid w:val="0075451A"/>
    <w:rsid w:val="00755C7E"/>
    <w:rsid w:val="007667DD"/>
    <w:rsid w:val="00784400"/>
    <w:rsid w:val="00794880"/>
    <w:rsid w:val="007C1813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42B96"/>
    <w:rsid w:val="00951373"/>
    <w:rsid w:val="00972310"/>
    <w:rsid w:val="00982F78"/>
    <w:rsid w:val="009875B2"/>
    <w:rsid w:val="00987FC3"/>
    <w:rsid w:val="009C52E9"/>
    <w:rsid w:val="009C5777"/>
    <w:rsid w:val="009D4E77"/>
    <w:rsid w:val="009F0DFC"/>
    <w:rsid w:val="009F3445"/>
    <w:rsid w:val="00A15232"/>
    <w:rsid w:val="00A22655"/>
    <w:rsid w:val="00A36CB9"/>
    <w:rsid w:val="00A42400"/>
    <w:rsid w:val="00A50EEB"/>
    <w:rsid w:val="00A52886"/>
    <w:rsid w:val="00A75F4C"/>
    <w:rsid w:val="00A9584B"/>
    <w:rsid w:val="00AA66ED"/>
    <w:rsid w:val="00AB1738"/>
    <w:rsid w:val="00AE621F"/>
    <w:rsid w:val="00AF3542"/>
    <w:rsid w:val="00AF776F"/>
    <w:rsid w:val="00B11C70"/>
    <w:rsid w:val="00B134EF"/>
    <w:rsid w:val="00B20041"/>
    <w:rsid w:val="00B57B2A"/>
    <w:rsid w:val="00B7528C"/>
    <w:rsid w:val="00BA512C"/>
    <w:rsid w:val="00BB1F22"/>
    <w:rsid w:val="00BF70DC"/>
    <w:rsid w:val="00C01949"/>
    <w:rsid w:val="00C06DC8"/>
    <w:rsid w:val="00C17DDC"/>
    <w:rsid w:val="00C3053B"/>
    <w:rsid w:val="00C65084"/>
    <w:rsid w:val="00CD10BF"/>
    <w:rsid w:val="00D174D9"/>
    <w:rsid w:val="00D20A6A"/>
    <w:rsid w:val="00D34A04"/>
    <w:rsid w:val="00D5111B"/>
    <w:rsid w:val="00D60214"/>
    <w:rsid w:val="00D62F8A"/>
    <w:rsid w:val="00D67554"/>
    <w:rsid w:val="00D71A1A"/>
    <w:rsid w:val="00D90054"/>
    <w:rsid w:val="00DC163E"/>
    <w:rsid w:val="00DC30F3"/>
    <w:rsid w:val="00DC64EC"/>
    <w:rsid w:val="00DD6FD3"/>
    <w:rsid w:val="00E15396"/>
    <w:rsid w:val="00E160E0"/>
    <w:rsid w:val="00E17C67"/>
    <w:rsid w:val="00E331A7"/>
    <w:rsid w:val="00E36E3C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B1D7C"/>
    <w:rsid w:val="00EC0B8E"/>
    <w:rsid w:val="00ED0C60"/>
    <w:rsid w:val="00ED609E"/>
    <w:rsid w:val="00EF1342"/>
    <w:rsid w:val="00EF41EA"/>
    <w:rsid w:val="00F04CAE"/>
    <w:rsid w:val="00F05BEA"/>
    <w:rsid w:val="00F1760E"/>
    <w:rsid w:val="00F32AE0"/>
    <w:rsid w:val="00F33F60"/>
    <w:rsid w:val="00F379BD"/>
    <w:rsid w:val="00F448E2"/>
    <w:rsid w:val="00F47056"/>
    <w:rsid w:val="00F60031"/>
    <w:rsid w:val="00F76CF5"/>
    <w:rsid w:val="00F91DF0"/>
    <w:rsid w:val="00FA248D"/>
    <w:rsid w:val="00FA7F39"/>
    <w:rsid w:val="00FB66F1"/>
    <w:rsid w:val="00FC60FB"/>
    <w:rsid w:val="00FD35B0"/>
    <w:rsid w:val="00FD3BA3"/>
    <w:rsid w:val="00FD3F2B"/>
    <w:rsid w:val="00FE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51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D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D6C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D6C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sc.org/learn-chemistry/resource/res00000425/testing-for-enzym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rsc.li/H2O2decompos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eic.rsc.org/section/exhibition-chemistry/decomposing-hydrogen-peroxide/2020045.artic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7d643f5-4560-4eff-9f48-d0fe6b2bec2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Chemical analysis experiment 2 11-14 student handout</vt:lpstr>
    </vt:vector>
  </TitlesOfParts>
  <Company>Royal Society of Chemistry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Decomposition of hydrogen peroxide teacher notes</dc:title>
  <dc:subject>Demonstration silver acetylide as a contact explosive</dc:subject>
  <dc:creator>Royal Society of Chemistry</dc:creator>
  <dc:description>To accompany the article 'Catalysts get helping hands' from Education in Chemistry, November 2017.</dc:description>
  <cp:lastModifiedBy>Luke Blackburn</cp:lastModifiedBy>
  <cp:revision>10</cp:revision>
  <dcterms:created xsi:type="dcterms:W3CDTF">2017-09-21T12:23:00Z</dcterms:created>
  <dcterms:modified xsi:type="dcterms:W3CDTF">2017-11-10T15:40:00Z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