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4B137" w14:textId="4C7E3E34" w:rsidR="00360925" w:rsidRPr="00F4589C" w:rsidRDefault="00F4589C" w:rsidP="00D84534">
      <w:pPr>
        <w:pStyle w:val="Heading1"/>
        <w:spacing w:after="0"/>
        <w:rPr>
          <w:rFonts w:cs="Arial"/>
        </w:rPr>
      </w:pPr>
      <w:r w:rsidRPr="00F4589C">
        <w:rPr>
          <w:rFonts w:cs="Arial"/>
        </w:rPr>
        <w:t>The genie in the bottle</w:t>
      </w:r>
    </w:p>
    <w:p w14:paraId="2F7E25DD" w14:textId="417964AB" w:rsidR="00360925" w:rsidRPr="00F4589C" w:rsidRDefault="00360925" w:rsidP="00D84534">
      <w:pPr>
        <w:pStyle w:val="Leadparagraph"/>
        <w:spacing w:after="0"/>
        <w:rPr>
          <w:rStyle w:val="Hyperlink"/>
          <w:b w:val="0"/>
        </w:rPr>
      </w:pPr>
      <w:r w:rsidRPr="00F4589C">
        <w:rPr>
          <w:rStyle w:val="LeadparagraphChar"/>
          <w:b/>
          <w:i/>
        </w:rPr>
        <w:t>Education in Chemistry</w:t>
      </w:r>
      <w:r w:rsidRPr="00F4589C">
        <w:rPr>
          <w:rStyle w:val="LeadparagraphChar"/>
          <w:b/>
        </w:rPr>
        <w:br/>
      </w:r>
      <w:r w:rsidR="00EF6538">
        <w:rPr>
          <w:rStyle w:val="LeadparagraphChar"/>
        </w:rPr>
        <w:t>September</w:t>
      </w:r>
      <w:r w:rsidRPr="00F4589C">
        <w:rPr>
          <w:rStyle w:val="LeadparagraphChar"/>
        </w:rPr>
        <w:t xml:space="preserve"> 2018</w:t>
      </w:r>
      <w:r w:rsidRPr="00F4589C">
        <w:rPr>
          <w:rStyle w:val="LeadparagraphChar"/>
          <w:b/>
        </w:rPr>
        <w:br/>
      </w:r>
      <w:hyperlink r:id="rId10" w:history="1">
        <w:r w:rsidR="00EF6538" w:rsidRPr="00EF6538">
          <w:rPr>
            <w:rStyle w:val="Hyperlink"/>
            <w:b w:val="0"/>
          </w:rPr>
          <w:t>rsc.li/2PyWj3w</w:t>
        </w:r>
      </w:hyperlink>
    </w:p>
    <w:p w14:paraId="539E8631" w14:textId="77777777" w:rsidR="00D84534" w:rsidRPr="00F4589C" w:rsidRDefault="00D84534" w:rsidP="00D84534"/>
    <w:p w14:paraId="6875E3FC" w14:textId="062DDCBE" w:rsidR="00360925" w:rsidRPr="00F4589C" w:rsidRDefault="00360925" w:rsidP="00360925">
      <w:pPr>
        <w:pStyle w:val="Heading1"/>
        <w:rPr>
          <w:rFonts w:cs="Arial"/>
          <w:sz w:val="26"/>
          <w:szCs w:val="26"/>
        </w:rPr>
      </w:pPr>
      <w:r w:rsidRPr="00F4589C">
        <w:rPr>
          <w:rFonts w:cs="Arial"/>
          <w:sz w:val="26"/>
          <w:szCs w:val="26"/>
        </w:rPr>
        <w:t>Technician notes</w:t>
      </w:r>
    </w:p>
    <w:p w14:paraId="4CCCD10B" w14:textId="0632DDDC" w:rsidR="00360925" w:rsidRPr="00F4589C" w:rsidRDefault="00360925" w:rsidP="00360925">
      <w:pPr>
        <w:pStyle w:val="Heading3"/>
        <w:rPr>
          <w:color w:val="auto"/>
        </w:rPr>
      </w:pPr>
      <w:r w:rsidRPr="00F4589C">
        <w:t>Kit</w:t>
      </w:r>
    </w:p>
    <w:p w14:paraId="06DE59D9" w14:textId="4617AF29" w:rsidR="00FA794E" w:rsidRDefault="00FA794E" w:rsidP="00FA794E">
      <w:pPr>
        <w:pStyle w:val="ListParagraph"/>
        <w:keepLines w:val="0"/>
        <w:numPr>
          <w:ilvl w:val="0"/>
          <w:numId w:val="24"/>
        </w:numPr>
        <w:spacing w:after="0"/>
      </w:pPr>
      <w:r>
        <w:t>Approx. 50 cm</w:t>
      </w:r>
      <w:r w:rsidRPr="00745649">
        <w:rPr>
          <w:vertAlign w:val="superscript"/>
        </w:rPr>
        <w:t>3</w:t>
      </w:r>
      <w:r>
        <w:t xml:space="preserve"> of ethanol (importantly, not IDA/IMS), (h</w:t>
      </w:r>
      <w:r w:rsidRPr="00F53E46">
        <w:t>ighl</w:t>
      </w:r>
      <w:r>
        <w:t>y flammable liquid and vapour, h</w:t>
      </w:r>
      <w:r w:rsidRPr="00F53E46">
        <w:t>armful</w:t>
      </w:r>
      <w:r>
        <w:t>)</w:t>
      </w:r>
      <w:r w:rsidR="009F171B">
        <w:t xml:space="preserve"> </w:t>
      </w:r>
      <w:r w:rsidR="009F171B" w:rsidRPr="00D807CB">
        <w:rPr>
          <w:i/>
        </w:rPr>
        <w:t>(</w:t>
      </w:r>
      <w:proofErr w:type="spellStart"/>
      <w:r w:rsidR="009F171B" w:rsidRPr="00D807CB">
        <w:rPr>
          <w:i/>
        </w:rPr>
        <w:t>Hazcard</w:t>
      </w:r>
      <w:proofErr w:type="spellEnd"/>
      <w:r w:rsidR="009F171B" w:rsidRPr="00D807CB">
        <w:rPr>
          <w:i/>
        </w:rPr>
        <w:t xml:space="preserve"> 40A, recipe 002)</w:t>
      </w:r>
    </w:p>
    <w:p w14:paraId="1B29860B" w14:textId="6CF1FA8C" w:rsidR="00FA794E" w:rsidRDefault="00FA794E" w:rsidP="009F171B">
      <w:pPr>
        <w:pStyle w:val="ListParagraph"/>
        <w:keepLines w:val="0"/>
        <w:numPr>
          <w:ilvl w:val="0"/>
          <w:numId w:val="23"/>
        </w:numPr>
        <w:spacing w:after="0"/>
        <w:ind w:left="0" w:firstLine="360"/>
      </w:pPr>
      <w:r>
        <w:t>Boric acid (m</w:t>
      </w:r>
      <w:r w:rsidRPr="00F53E46">
        <w:t>ay damage fertility</w:t>
      </w:r>
      <w:r>
        <w:t>,</w:t>
      </w:r>
      <w:r w:rsidRPr="00F53E46">
        <w:t xml:space="preserve"> </w:t>
      </w:r>
      <w:r>
        <w:t>m</w:t>
      </w:r>
      <w:r w:rsidRPr="00F53E46">
        <w:t xml:space="preserve">ay damage the </w:t>
      </w:r>
      <w:r>
        <w:t>unborn child)</w:t>
      </w:r>
      <w:r w:rsidR="009F171B">
        <w:t xml:space="preserve"> </w:t>
      </w:r>
      <w:r w:rsidR="009F171B" w:rsidRPr="00D807CB">
        <w:rPr>
          <w:i/>
        </w:rPr>
        <w:t>(</w:t>
      </w:r>
      <w:proofErr w:type="spellStart"/>
      <w:r w:rsidR="009F171B" w:rsidRPr="00D807CB">
        <w:rPr>
          <w:i/>
        </w:rPr>
        <w:t>Hazcard</w:t>
      </w:r>
      <w:proofErr w:type="spellEnd"/>
      <w:r w:rsidR="009F171B" w:rsidRPr="00D807CB">
        <w:rPr>
          <w:i/>
        </w:rPr>
        <w:t xml:space="preserve"> 14A)</w:t>
      </w:r>
    </w:p>
    <w:p w14:paraId="23080DEB" w14:textId="77777777" w:rsidR="00FA794E" w:rsidRDefault="00FA794E" w:rsidP="00FA794E">
      <w:pPr>
        <w:pStyle w:val="ListParagraph"/>
        <w:keepLines w:val="0"/>
        <w:numPr>
          <w:ilvl w:val="0"/>
          <w:numId w:val="23"/>
        </w:numPr>
        <w:spacing w:after="0"/>
      </w:pPr>
      <w:r>
        <w:t>2.5 – 3.0 g of the following salts:</w:t>
      </w:r>
    </w:p>
    <w:p w14:paraId="070AB383" w14:textId="67AE4BC4" w:rsidR="00FA794E" w:rsidRPr="00E11128" w:rsidRDefault="00FA794E" w:rsidP="00FA794E">
      <w:pPr>
        <w:pStyle w:val="ListParagraph"/>
        <w:keepLines w:val="0"/>
        <w:numPr>
          <w:ilvl w:val="1"/>
          <w:numId w:val="23"/>
        </w:numPr>
        <w:spacing w:after="0"/>
      </w:pPr>
      <w:r w:rsidRPr="00E11128">
        <w:t>lithium chloride</w:t>
      </w:r>
      <w:r w:rsidR="009F171B">
        <w:t xml:space="preserve"> </w:t>
      </w:r>
      <w:r w:rsidR="009F171B" w:rsidRPr="00D807CB">
        <w:rPr>
          <w:i/>
        </w:rPr>
        <w:t>(</w:t>
      </w:r>
      <w:proofErr w:type="spellStart"/>
      <w:r w:rsidR="009F171B" w:rsidRPr="00D807CB">
        <w:rPr>
          <w:i/>
        </w:rPr>
        <w:t>Hazcard</w:t>
      </w:r>
      <w:proofErr w:type="spellEnd"/>
      <w:r w:rsidR="009F171B" w:rsidRPr="00D807CB">
        <w:rPr>
          <w:i/>
        </w:rPr>
        <w:t xml:space="preserve"> 47B)</w:t>
      </w:r>
    </w:p>
    <w:p w14:paraId="4095527A" w14:textId="125F6587" w:rsidR="00FA794E" w:rsidRPr="00E11128" w:rsidRDefault="00FA794E" w:rsidP="009F171B">
      <w:pPr>
        <w:pStyle w:val="ListParagraph"/>
        <w:keepLines w:val="0"/>
        <w:numPr>
          <w:ilvl w:val="1"/>
          <w:numId w:val="23"/>
        </w:numPr>
        <w:spacing w:after="0"/>
      </w:pPr>
      <w:r w:rsidRPr="00E11128">
        <w:t>sodium chloride</w:t>
      </w:r>
      <w:r w:rsidR="009F171B">
        <w:t xml:space="preserve"> </w:t>
      </w:r>
      <w:r w:rsidR="009F171B" w:rsidRPr="00D807CB">
        <w:rPr>
          <w:i/>
        </w:rPr>
        <w:t>(</w:t>
      </w:r>
      <w:proofErr w:type="spellStart"/>
      <w:r w:rsidR="009F171B" w:rsidRPr="00D807CB">
        <w:rPr>
          <w:i/>
        </w:rPr>
        <w:t>Hazcard</w:t>
      </w:r>
      <w:proofErr w:type="spellEnd"/>
      <w:r w:rsidR="009F171B" w:rsidRPr="00D807CB">
        <w:rPr>
          <w:i/>
        </w:rPr>
        <w:t xml:space="preserve"> 47B)</w:t>
      </w:r>
    </w:p>
    <w:p w14:paraId="3B89DA67" w14:textId="19ADCE83" w:rsidR="00FA794E" w:rsidRPr="00E11128" w:rsidRDefault="00FA794E" w:rsidP="00FA794E">
      <w:pPr>
        <w:pStyle w:val="ListParagraph"/>
        <w:keepLines w:val="0"/>
        <w:numPr>
          <w:ilvl w:val="1"/>
          <w:numId w:val="23"/>
        </w:numPr>
        <w:spacing w:after="0"/>
      </w:pPr>
      <w:r w:rsidRPr="00E11128">
        <w:t xml:space="preserve">potassium </w:t>
      </w:r>
      <w:r w:rsidRPr="005826B1">
        <w:t>chloride</w:t>
      </w:r>
      <w:r w:rsidR="009F171B">
        <w:t xml:space="preserve"> </w:t>
      </w:r>
      <w:r w:rsidR="009F171B" w:rsidRPr="00D807CB">
        <w:rPr>
          <w:i/>
        </w:rPr>
        <w:t>(</w:t>
      </w:r>
      <w:proofErr w:type="spellStart"/>
      <w:r w:rsidR="009F171B" w:rsidRPr="00D807CB">
        <w:rPr>
          <w:i/>
        </w:rPr>
        <w:t>Hazcard</w:t>
      </w:r>
      <w:proofErr w:type="spellEnd"/>
      <w:r w:rsidR="009F171B" w:rsidRPr="00D807CB">
        <w:rPr>
          <w:i/>
        </w:rPr>
        <w:t xml:space="preserve"> 47B)</w:t>
      </w:r>
    </w:p>
    <w:p w14:paraId="328C7138" w14:textId="099A34F5" w:rsidR="00FA794E" w:rsidRPr="00E11128" w:rsidRDefault="00FA794E" w:rsidP="00FA794E">
      <w:pPr>
        <w:pStyle w:val="ListParagraph"/>
        <w:keepLines w:val="0"/>
        <w:numPr>
          <w:ilvl w:val="1"/>
          <w:numId w:val="23"/>
        </w:numPr>
        <w:spacing w:after="0"/>
      </w:pPr>
      <w:r w:rsidRPr="00E11128">
        <w:t>anhydrous calcium chloride (irritant)</w:t>
      </w:r>
      <w:r w:rsidR="009F171B">
        <w:t xml:space="preserve"> </w:t>
      </w:r>
      <w:r w:rsidR="009F171B" w:rsidRPr="00D807CB">
        <w:rPr>
          <w:i/>
        </w:rPr>
        <w:t>(</w:t>
      </w:r>
      <w:proofErr w:type="spellStart"/>
      <w:r w:rsidR="009F171B" w:rsidRPr="00D807CB">
        <w:rPr>
          <w:i/>
        </w:rPr>
        <w:t>Hazcard</w:t>
      </w:r>
      <w:proofErr w:type="spellEnd"/>
      <w:r w:rsidR="009F171B" w:rsidRPr="00D807CB">
        <w:rPr>
          <w:i/>
        </w:rPr>
        <w:t xml:space="preserve"> 19A)</w:t>
      </w:r>
    </w:p>
    <w:p w14:paraId="50E035FA" w14:textId="00503E27" w:rsidR="00FA794E" w:rsidRPr="00E11128" w:rsidRDefault="00FA794E" w:rsidP="00FA794E">
      <w:pPr>
        <w:pStyle w:val="ListParagraph"/>
        <w:keepLines w:val="0"/>
        <w:numPr>
          <w:ilvl w:val="1"/>
          <w:numId w:val="23"/>
        </w:numPr>
        <w:spacing w:after="0"/>
      </w:pPr>
      <w:r w:rsidRPr="005826B1">
        <w:t>hydrated strontium chloride</w:t>
      </w:r>
      <w:r w:rsidR="009F171B">
        <w:t xml:space="preserve"> </w:t>
      </w:r>
      <w:r w:rsidR="009F171B" w:rsidRPr="00D807CB">
        <w:rPr>
          <w:i/>
        </w:rPr>
        <w:t>(</w:t>
      </w:r>
      <w:proofErr w:type="spellStart"/>
      <w:r w:rsidR="009F171B" w:rsidRPr="00D807CB">
        <w:rPr>
          <w:i/>
        </w:rPr>
        <w:t>Hazcard</w:t>
      </w:r>
      <w:proofErr w:type="spellEnd"/>
      <w:r w:rsidR="009F171B" w:rsidRPr="00D807CB">
        <w:rPr>
          <w:i/>
        </w:rPr>
        <w:t xml:space="preserve"> 19A)</w:t>
      </w:r>
    </w:p>
    <w:p w14:paraId="4483A058" w14:textId="3F5EDEA2" w:rsidR="00FA794E" w:rsidRPr="00E11128" w:rsidRDefault="00FA794E" w:rsidP="00FA794E">
      <w:pPr>
        <w:pStyle w:val="ListParagraph"/>
        <w:keepLines w:val="0"/>
        <w:numPr>
          <w:ilvl w:val="1"/>
          <w:numId w:val="23"/>
        </w:numPr>
        <w:spacing w:after="0"/>
      </w:pPr>
      <w:r w:rsidRPr="005826B1">
        <w:t>hydrated b</w:t>
      </w:r>
      <w:r w:rsidRPr="00E11128">
        <w:t>arium chloride (harmful, toxic)</w:t>
      </w:r>
      <w:r w:rsidR="009F171B">
        <w:t xml:space="preserve"> </w:t>
      </w:r>
      <w:r w:rsidR="009F171B" w:rsidRPr="00D807CB">
        <w:rPr>
          <w:i/>
        </w:rPr>
        <w:t>(</w:t>
      </w:r>
      <w:proofErr w:type="spellStart"/>
      <w:r w:rsidR="009F171B" w:rsidRPr="00D807CB">
        <w:rPr>
          <w:i/>
        </w:rPr>
        <w:t>Hazcard</w:t>
      </w:r>
      <w:proofErr w:type="spellEnd"/>
      <w:r w:rsidR="009F171B" w:rsidRPr="00D807CB">
        <w:rPr>
          <w:i/>
        </w:rPr>
        <w:t xml:space="preserve"> 10A)</w:t>
      </w:r>
    </w:p>
    <w:p w14:paraId="08AB38B9" w14:textId="32E5561A" w:rsidR="00FA794E" w:rsidRPr="005826B1" w:rsidRDefault="00FA794E" w:rsidP="00FA794E">
      <w:pPr>
        <w:pStyle w:val="ListParagraph"/>
        <w:keepLines w:val="0"/>
        <w:numPr>
          <w:ilvl w:val="1"/>
          <w:numId w:val="23"/>
        </w:numPr>
        <w:spacing w:after="0"/>
      </w:pPr>
      <w:r w:rsidRPr="005826B1">
        <w:t>hydrated copper(</w:t>
      </w:r>
      <w:r w:rsidRPr="00745649">
        <w:t>II</w:t>
      </w:r>
      <w:r w:rsidRPr="005826B1">
        <w:t>) chloride</w:t>
      </w:r>
      <w:r w:rsidRPr="00E11128">
        <w:t xml:space="preserve"> (harmful, irritant, very toxic to aquatic life)</w:t>
      </w:r>
      <w:r w:rsidR="009F171B">
        <w:t xml:space="preserve"> </w:t>
      </w:r>
      <w:r w:rsidR="009F171B" w:rsidRPr="00D807CB">
        <w:rPr>
          <w:i/>
        </w:rPr>
        <w:t>(</w:t>
      </w:r>
      <w:proofErr w:type="spellStart"/>
      <w:r w:rsidR="009F171B" w:rsidRPr="00D807CB">
        <w:rPr>
          <w:i/>
        </w:rPr>
        <w:t>Hazcard</w:t>
      </w:r>
      <w:proofErr w:type="spellEnd"/>
      <w:r w:rsidR="009F171B" w:rsidRPr="00D807CB">
        <w:rPr>
          <w:i/>
        </w:rPr>
        <w:t xml:space="preserve"> 27A)</w:t>
      </w:r>
    </w:p>
    <w:p w14:paraId="2BABC223" w14:textId="77777777" w:rsidR="00FA794E" w:rsidRDefault="00FA794E" w:rsidP="00FA794E">
      <w:pPr>
        <w:pStyle w:val="ListParagraph"/>
        <w:keepLines w:val="0"/>
        <w:numPr>
          <w:ilvl w:val="0"/>
          <w:numId w:val="23"/>
        </w:numPr>
        <w:spacing w:after="0"/>
      </w:pPr>
      <w:r>
        <w:t>80 mm borosilicate crystallising dishes or 250 cm</w:t>
      </w:r>
      <w:r w:rsidRPr="00745649">
        <w:rPr>
          <w:vertAlign w:val="superscript"/>
        </w:rPr>
        <w:t>3</w:t>
      </w:r>
      <w:r>
        <w:t xml:space="preserve"> borosilicate beakers</w:t>
      </w:r>
    </w:p>
    <w:p w14:paraId="774383A4" w14:textId="77777777" w:rsidR="00FA794E" w:rsidRDefault="00FA794E" w:rsidP="00FA794E">
      <w:pPr>
        <w:pStyle w:val="ListParagraph"/>
        <w:keepLines w:val="0"/>
        <w:numPr>
          <w:ilvl w:val="0"/>
          <w:numId w:val="23"/>
        </w:numPr>
        <w:spacing w:after="0"/>
      </w:pPr>
      <w:r>
        <w:t>Heat-resistant mats</w:t>
      </w:r>
    </w:p>
    <w:p w14:paraId="5753214B" w14:textId="77777777" w:rsidR="00FA794E" w:rsidRDefault="00FA794E" w:rsidP="0005604A">
      <w:pPr>
        <w:pStyle w:val="ListParagraph"/>
        <w:keepLines w:val="0"/>
        <w:numPr>
          <w:ilvl w:val="0"/>
          <w:numId w:val="23"/>
        </w:numPr>
        <w:spacing w:after="120"/>
      </w:pPr>
      <w:r>
        <w:t>Wooden splints</w:t>
      </w:r>
      <w:bookmarkStart w:id="0" w:name="_GoBack"/>
      <w:bookmarkEnd w:id="0"/>
    </w:p>
    <w:p w14:paraId="04D80E6A" w14:textId="2FD346E2" w:rsidR="00F4589C" w:rsidRPr="00F4589C" w:rsidRDefault="00FA794E" w:rsidP="0005604A">
      <w:pPr>
        <w:pStyle w:val="ListParagraph"/>
        <w:keepLines w:val="0"/>
        <w:numPr>
          <w:ilvl w:val="0"/>
          <w:numId w:val="23"/>
        </w:numPr>
        <w:spacing w:after="120"/>
      </w:pPr>
      <w:r>
        <w:t>Metre rule</w:t>
      </w:r>
    </w:p>
    <w:p w14:paraId="65F2FD87" w14:textId="77777777" w:rsidR="00360925" w:rsidRPr="00F4589C" w:rsidRDefault="00360925" w:rsidP="00360925">
      <w:pPr>
        <w:pStyle w:val="Heading3"/>
      </w:pPr>
      <w:r w:rsidRPr="00F4589C">
        <w:t>Preparation</w:t>
      </w:r>
    </w:p>
    <w:p w14:paraId="4EB621E4" w14:textId="437AD303" w:rsidR="00F4589C" w:rsidRPr="00F4589C" w:rsidRDefault="00FA794E" w:rsidP="00360925">
      <w:r>
        <w:t>Work in a well-ventilated room and wear eye protection. Place the beakers / basins on the heat-resistant mats and spread 2.5 – 3.0 g of each salt around the base of the container. Dampen the solid with approximately 0.5 cm</w:t>
      </w:r>
      <w:r w:rsidRPr="001F7665">
        <w:rPr>
          <w:vertAlign w:val="superscript"/>
        </w:rPr>
        <w:t>3</w:t>
      </w:r>
      <w:r>
        <w:t xml:space="preserve"> of water and add approximately 6 cm</w:t>
      </w:r>
      <w:r w:rsidRPr="001F7665">
        <w:rPr>
          <w:vertAlign w:val="superscript"/>
        </w:rPr>
        <w:t>3</w:t>
      </w:r>
      <w:r>
        <w:t xml:space="preserve"> ethanol over each. Stopper the ethanol bottle and remove it to at least 2 m away from the demonstration.</w:t>
      </w:r>
    </w:p>
    <w:p w14:paraId="6B8F1104" w14:textId="77777777" w:rsidR="00360925" w:rsidRPr="00F4589C" w:rsidRDefault="00360925" w:rsidP="00360925">
      <w:pPr>
        <w:pStyle w:val="Heading3"/>
      </w:pPr>
      <w:r w:rsidRPr="00F4589C">
        <w:t>In front of the class</w:t>
      </w:r>
    </w:p>
    <w:p w14:paraId="5D59F5B2" w14:textId="7618737C" w:rsidR="00F4589C" w:rsidRPr="00F4589C" w:rsidRDefault="00FA794E" w:rsidP="00360925">
      <w:r>
        <w:t>Position the audience 3 m away from the demonstration with eye protection. Ask for a volunteer to switch off the lights if the switch is not nearby. Ignite the solvent in each container with a splint on a metre rule. Each beaker will burn with a characteristic colour. Allow the flames to burn out – do not attempt to add more solvent until at least 15 minutes have passed since the last flame extinguished.</w:t>
      </w:r>
    </w:p>
    <w:p w14:paraId="5CB6016A" w14:textId="77777777" w:rsidR="00360925" w:rsidRPr="00F4589C" w:rsidRDefault="00360925" w:rsidP="00360925">
      <w:pPr>
        <w:pStyle w:val="Heading3"/>
      </w:pPr>
      <w:r w:rsidRPr="00F4589C">
        <w:t>Safety and disposal</w:t>
      </w:r>
    </w:p>
    <w:p w14:paraId="2C489664" w14:textId="38C49CC9" w:rsidR="00FA794E" w:rsidRDefault="00FA794E" w:rsidP="00FA794E">
      <w:r>
        <w:t>Boric acid is a teratogen – you may not wish to use it.</w:t>
      </w:r>
    </w:p>
    <w:p w14:paraId="77BE555D" w14:textId="77777777" w:rsidR="00FA794E" w:rsidRPr="00F53E46" w:rsidRDefault="00FA794E" w:rsidP="00FA794E">
      <w:r>
        <w:t xml:space="preserve">Do not be tempted to pour more alcohol onto the flame or hot glassware in order to extend the demonstration. Use only borosilicate glass (avoid </w:t>
      </w:r>
      <w:proofErr w:type="spellStart"/>
      <w:r>
        <w:t>watchglasses</w:t>
      </w:r>
      <w:proofErr w:type="spellEnd"/>
      <w:r>
        <w:t>, which are usually made from soda glass and may crack).</w:t>
      </w:r>
    </w:p>
    <w:p w14:paraId="781C00C8" w14:textId="2FA43F01" w:rsidR="0080030A" w:rsidRPr="00F4589C" w:rsidRDefault="00FA794E" w:rsidP="00FA794E">
      <w:r>
        <w:t xml:space="preserve">Dilute the contents of the </w:t>
      </w:r>
      <w:proofErr w:type="gramStart"/>
      <w:r>
        <w:t>copper(</w:t>
      </w:r>
      <w:proofErr w:type="gramEnd"/>
      <w:r w:rsidRPr="00745649">
        <w:t>II</w:t>
      </w:r>
      <w:r>
        <w:t>) chloride beaker to 1 L and pour down the sink. The other salts will be unchanged at the end of the demonstration and can be retrieved and recycled for future demonstrations.</w:t>
      </w:r>
    </w:p>
    <w:sectPr w:rsidR="0080030A" w:rsidRPr="00F4589C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4F8E2" w14:textId="77777777" w:rsidR="003A06E0" w:rsidRDefault="003A06E0" w:rsidP="000D3D40">
      <w:r>
        <w:separator/>
      </w:r>
    </w:p>
  </w:endnote>
  <w:endnote w:type="continuationSeparator" w:id="0">
    <w:p w14:paraId="053B8AD6" w14:textId="77777777" w:rsidR="003A06E0" w:rsidRDefault="003A06E0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21BF202B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A794E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FA794E">
        <w:rPr>
          <w:noProof/>
        </w:rPr>
        <w:t>2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7DFFF14E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807CB">
      <w:rPr>
        <w:noProof/>
      </w:rPr>
      <w:t>1</w:t>
    </w:r>
    <w:r>
      <w:fldChar w:fldCharType="end"/>
    </w:r>
    <w:r>
      <w:t xml:space="preserve"> of </w:t>
    </w:r>
    <w:r w:rsidR="003A06E0">
      <w:fldChar w:fldCharType="begin"/>
    </w:r>
    <w:r w:rsidR="003A06E0">
      <w:instrText xml:space="preserve"> NUMPAGES   \* MERGEFORMAT </w:instrText>
    </w:r>
    <w:r w:rsidR="003A06E0">
      <w:fldChar w:fldCharType="separate"/>
    </w:r>
    <w:r w:rsidR="00D807CB">
      <w:rPr>
        <w:noProof/>
      </w:rPr>
      <w:t>1</w:t>
    </w:r>
    <w:r w:rsidR="003A06E0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EC484" w14:textId="77777777" w:rsidR="003A06E0" w:rsidRDefault="003A06E0" w:rsidP="000D3D40">
      <w:r>
        <w:separator/>
      </w:r>
    </w:p>
  </w:footnote>
  <w:footnote w:type="continuationSeparator" w:id="0">
    <w:p w14:paraId="75B68A1C" w14:textId="77777777" w:rsidR="003A06E0" w:rsidRDefault="003A06E0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E6B80"/>
    <w:multiLevelType w:val="hybridMultilevel"/>
    <w:tmpl w:val="433CE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C67D1"/>
    <w:multiLevelType w:val="multilevel"/>
    <w:tmpl w:val="1A50D3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A34637"/>
    <w:multiLevelType w:val="hybridMultilevel"/>
    <w:tmpl w:val="996EA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8A4405"/>
    <w:multiLevelType w:val="hybridMultilevel"/>
    <w:tmpl w:val="6AA24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13"/>
  </w:num>
  <w:num w:numId="17">
    <w:abstractNumId w:val="21"/>
  </w:num>
  <w:num w:numId="18">
    <w:abstractNumId w:val="16"/>
  </w:num>
  <w:num w:numId="19">
    <w:abstractNumId w:val="22"/>
  </w:num>
  <w:num w:numId="20">
    <w:abstractNumId w:val="20"/>
  </w:num>
  <w:num w:numId="21">
    <w:abstractNumId w:val="10"/>
  </w:num>
  <w:num w:numId="22">
    <w:abstractNumId w:val="12"/>
  </w:num>
  <w:num w:numId="23">
    <w:abstractNumId w:val="1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3F83"/>
    <w:rsid w:val="0002726D"/>
    <w:rsid w:val="0003347C"/>
    <w:rsid w:val="000355C3"/>
    <w:rsid w:val="000709BF"/>
    <w:rsid w:val="000B30DF"/>
    <w:rsid w:val="000C7E4A"/>
    <w:rsid w:val="000D3D40"/>
    <w:rsid w:val="000D440E"/>
    <w:rsid w:val="0010603F"/>
    <w:rsid w:val="00112D04"/>
    <w:rsid w:val="001167A2"/>
    <w:rsid w:val="00165309"/>
    <w:rsid w:val="00170457"/>
    <w:rsid w:val="0018383B"/>
    <w:rsid w:val="001B6661"/>
    <w:rsid w:val="001B7EB7"/>
    <w:rsid w:val="001D1E2A"/>
    <w:rsid w:val="001D703D"/>
    <w:rsid w:val="001D7818"/>
    <w:rsid w:val="001E0F30"/>
    <w:rsid w:val="001E2D76"/>
    <w:rsid w:val="001F2D6F"/>
    <w:rsid w:val="001F589D"/>
    <w:rsid w:val="00200C3D"/>
    <w:rsid w:val="00206ABE"/>
    <w:rsid w:val="00210131"/>
    <w:rsid w:val="002117FF"/>
    <w:rsid w:val="00232BDF"/>
    <w:rsid w:val="00245902"/>
    <w:rsid w:val="00254EDF"/>
    <w:rsid w:val="00266840"/>
    <w:rsid w:val="0027207B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F0461"/>
    <w:rsid w:val="003019B6"/>
    <w:rsid w:val="003260A5"/>
    <w:rsid w:val="00334EAD"/>
    <w:rsid w:val="00343CBA"/>
    <w:rsid w:val="00360925"/>
    <w:rsid w:val="00361A0D"/>
    <w:rsid w:val="003A06E0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20B6"/>
    <w:rsid w:val="00460F13"/>
    <w:rsid w:val="004634FA"/>
    <w:rsid w:val="004723CA"/>
    <w:rsid w:val="00472A1A"/>
    <w:rsid w:val="00490BB0"/>
    <w:rsid w:val="00496E2E"/>
    <w:rsid w:val="004A2D91"/>
    <w:rsid w:val="004A32F0"/>
    <w:rsid w:val="004B204F"/>
    <w:rsid w:val="004B2F65"/>
    <w:rsid w:val="004C6CC9"/>
    <w:rsid w:val="005065D4"/>
    <w:rsid w:val="00510295"/>
    <w:rsid w:val="00515A5A"/>
    <w:rsid w:val="00520BDA"/>
    <w:rsid w:val="00527B54"/>
    <w:rsid w:val="005350B8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67C33"/>
    <w:rsid w:val="0067206C"/>
    <w:rsid w:val="006758AB"/>
    <w:rsid w:val="0068537A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8738B"/>
    <w:rsid w:val="007974A6"/>
    <w:rsid w:val="007C1813"/>
    <w:rsid w:val="0080030A"/>
    <w:rsid w:val="00805114"/>
    <w:rsid w:val="0080724C"/>
    <w:rsid w:val="00807F8B"/>
    <w:rsid w:val="0081005F"/>
    <w:rsid w:val="008141FB"/>
    <w:rsid w:val="0083128B"/>
    <w:rsid w:val="008342DB"/>
    <w:rsid w:val="00836F07"/>
    <w:rsid w:val="00853A62"/>
    <w:rsid w:val="00854D32"/>
    <w:rsid w:val="00855436"/>
    <w:rsid w:val="00857888"/>
    <w:rsid w:val="00870502"/>
    <w:rsid w:val="00873C13"/>
    <w:rsid w:val="00873E6B"/>
    <w:rsid w:val="00881418"/>
    <w:rsid w:val="00885B52"/>
    <w:rsid w:val="008A3B63"/>
    <w:rsid w:val="008A6AD0"/>
    <w:rsid w:val="008B3961"/>
    <w:rsid w:val="008C2782"/>
    <w:rsid w:val="008D41D2"/>
    <w:rsid w:val="008E2859"/>
    <w:rsid w:val="008F4156"/>
    <w:rsid w:val="008F7208"/>
    <w:rsid w:val="0090405B"/>
    <w:rsid w:val="00915C84"/>
    <w:rsid w:val="00923E53"/>
    <w:rsid w:val="009328DD"/>
    <w:rsid w:val="0094205D"/>
    <w:rsid w:val="00972310"/>
    <w:rsid w:val="00977AAC"/>
    <w:rsid w:val="00982F78"/>
    <w:rsid w:val="0098380A"/>
    <w:rsid w:val="009875B2"/>
    <w:rsid w:val="00987FC3"/>
    <w:rsid w:val="009C5777"/>
    <w:rsid w:val="009D37F9"/>
    <w:rsid w:val="009D4E77"/>
    <w:rsid w:val="009F0DFC"/>
    <w:rsid w:val="009F171B"/>
    <w:rsid w:val="009F3445"/>
    <w:rsid w:val="00A36CB9"/>
    <w:rsid w:val="00A42400"/>
    <w:rsid w:val="00A46B94"/>
    <w:rsid w:val="00A50EEB"/>
    <w:rsid w:val="00A52886"/>
    <w:rsid w:val="00A74AC9"/>
    <w:rsid w:val="00A75F4C"/>
    <w:rsid w:val="00A76DBA"/>
    <w:rsid w:val="00A9584B"/>
    <w:rsid w:val="00AA30E5"/>
    <w:rsid w:val="00AB1738"/>
    <w:rsid w:val="00AE621F"/>
    <w:rsid w:val="00AF3542"/>
    <w:rsid w:val="00AF776F"/>
    <w:rsid w:val="00B20041"/>
    <w:rsid w:val="00B57B2A"/>
    <w:rsid w:val="00B718A6"/>
    <w:rsid w:val="00BA512C"/>
    <w:rsid w:val="00BB1F22"/>
    <w:rsid w:val="00C17DDC"/>
    <w:rsid w:val="00C3053B"/>
    <w:rsid w:val="00CD10BF"/>
    <w:rsid w:val="00CE37CF"/>
    <w:rsid w:val="00D174D9"/>
    <w:rsid w:val="00D20A6A"/>
    <w:rsid w:val="00D34A04"/>
    <w:rsid w:val="00D5111B"/>
    <w:rsid w:val="00D57E7F"/>
    <w:rsid w:val="00D60214"/>
    <w:rsid w:val="00D62F8A"/>
    <w:rsid w:val="00D71A1A"/>
    <w:rsid w:val="00D807CB"/>
    <w:rsid w:val="00D84534"/>
    <w:rsid w:val="00D90054"/>
    <w:rsid w:val="00D94977"/>
    <w:rsid w:val="00DC30F3"/>
    <w:rsid w:val="00DC64EC"/>
    <w:rsid w:val="00DD6FD3"/>
    <w:rsid w:val="00E15396"/>
    <w:rsid w:val="00E160E0"/>
    <w:rsid w:val="00E17C67"/>
    <w:rsid w:val="00E331A7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B1D7C"/>
    <w:rsid w:val="00EC0B8E"/>
    <w:rsid w:val="00ED609E"/>
    <w:rsid w:val="00EF1342"/>
    <w:rsid w:val="00EF6538"/>
    <w:rsid w:val="00EF66DC"/>
    <w:rsid w:val="00F05BEA"/>
    <w:rsid w:val="00F256BF"/>
    <w:rsid w:val="00F32AE0"/>
    <w:rsid w:val="00F33F60"/>
    <w:rsid w:val="00F373ED"/>
    <w:rsid w:val="00F4589C"/>
    <w:rsid w:val="00F47056"/>
    <w:rsid w:val="00F60031"/>
    <w:rsid w:val="00F76CF5"/>
    <w:rsid w:val="00F91DF0"/>
    <w:rsid w:val="00FA248D"/>
    <w:rsid w:val="00FA794E"/>
    <w:rsid w:val="00FA7F39"/>
    <w:rsid w:val="00FB66F1"/>
    <w:rsid w:val="00FC0A2D"/>
    <w:rsid w:val="00FC60FB"/>
    <w:rsid w:val="00FD3BA3"/>
    <w:rsid w:val="00FD3F2B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4589C"/>
    <w:pPr>
      <w:keepLine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2PyWj3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27d643f5-4560-4eff-9f48-d0fe6b2bec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genie in the bottle, technician notes</vt:lpstr>
    </vt:vector>
  </TitlesOfParts>
  <Company>Royal Society of Chemistry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rainbow flame demonstration, technician notes</dc:title>
  <dc:subject>Demonstration silver acetylide as a contact explosive</dc:subject>
  <dc:creator>Royal Society of Chemistry</dc:creator>
  <dc:description>From Education in Chemistry, September 2018.</dc:description>
  <cp:lastModifiedBy>Luke Blackburn</cp:lastModifiedBy>
  <cp:revision>43</cp:revision>
  <dcterms:created xsi:type="dcterms:W3CDTF">2017-08-02T11:55:00Z</dcterms:created>
  <dcterms:modified xsi:type="dcterms:W3CDTF">2018-08-23T13:13:00Z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