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FDCF9FE" w:rsidR="0005693A" w:rsidRDefault="00FB1FE7" w:rsidP="0005693A">
      <w:pPr>
        <w:pStyle w:val="Heading1"/>
      </w:pPr>
      <w:r>
        <w:t>Unlocking students’ potential</w:t>
      </w:r>
    </w:p>
    <w:p w14:paraId="4FB10F87" w14:textId="6F4B6F76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03CB6">
        <w:rPr>
          <w:rStyle w:val="LeadparagraphChar"/>
        </w:rPr>
        <w:t>November 2018</w:t>
      </w:r>
      <w:r>
        <w:rPr>
          <w:rStyle w:val="LeadparagraphChar"/>
        </w:rPr>
        <w:br/>
      </w:r>
      <w:r w:rsidR="00FB1FE7" w:rsidRPr="00FB1FE7">
        <w:rPr>
          <w:rStyle w:val="LeadparagraphChar"/>
        </w:rPr>
        <w:t>rsc.li/2PLE9zd</w:t>
      </w:r>
    </w:p>
    <w:p w14:paraId="6B2B4508" w14:textId="33F9A436" w:rsidR="0005693A" w:rsidRDefault="00903CB6" w:rsidP="0005693A">
      <w:pPr>
        <w:pStyle w:val="Leadparagraph"/>
      </w:pPr>
      <w:r>
        <w:t xml:space="preserve">In any mainstream school, students will show a range of preferences for the way they like to work. Some will like to understand the big picture. Others prefer to focus on detail and think in a logical and sequential way. </w:t>
      </w:r>
    </w:p>
    <w:p w14:paraId="3BB42058" w14:textId="1B0EE8BB" w:rsidR="00903CB6" w:rsidRPr="00903CB6" w:rsidRDefault="00903CB6" w:rsidP="00903CB6">
      <w:r>
        <w:t>Student self-assessments help teacher</w:t>
      </w:r>
      <w:r w:rsidR="00FB1FE7">
        <w:t>s</w:t>
      </w:r>
      <w:r>
        <w:t xml:space="preserve"> reach a better understanding of class and individual learning preferences. With this information, we can see where certain students may need extra help or a different approach to help them learn effectively and tweak lesson plans accordingly. </w:t>
      </w:r>
    </w:p>
    <w:p w14:paraId="5D5609EC" w14:textId="1BBC3119" w:rsidR="0005693A" w:rsidRDefault="00903CB6" w:rsidP="0005693A">
      <w:pPr>
        <w:pStyle w:val="Heading2"/>
      </w:pPr>
      <w:r>
        <w:t>Examples of student self-assessments</w:t>
      </w:r>
    </w:p>
    <w:p w14:paraId="1DB447E1" w14:textId="77777777" w:rsidR="007204CB" w:rsidRPr="007204CB" w:rsidRDefault="007204CB" w:rsidP="007204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276"/>
      </w:tblGrid>
      <w:tr w:rsidR="00903CB6" w:rsidRPr="00903CB6" w14:paraId="3EAC0EA9" w14:textId="77777777" w:rsidTr="00782359">
        <w:tc>
          <w:tcPr>
            <w:tcW w:w="4621" w:type="dxa"/>
          </w:tcPr>
          <w:p w14:paraId="1C0BBC98" w14:textId="0011794E" w:rsidR="00903CB6" w:rsidRPr="00903CB6" w:rsidRDefault="00903CB6" w:rsidP="00782359">
            <w:r w:rsidRPr="00903CB6">
              <w:rPr>
                <w:b/>
              </w:rPr>
              <w:t>How good am I at chemistry skills?</w:t>
            </w:r>
            <w:r w:rsidRPr="00903CB6">
              <w:t xml:space="preserve">             </w:t>
            </w:r>
          </w:p>
        </w:tc>
        <w:tc>
          <w:tcPr>
            <w:tcW w:w="4276" w:type="dxa"/>
          </w:tcPr>
          <w:p w14:paraId="094EDF59" w14:textId="77777777" w:rsidR="00903CB6" w:rsidRPr="00903CB6" w:rsidRDefault="00903CB6" w:rsidP="00782359">
            <w:r w:rsidRPr="00903CB6">
              <w:t xml:space="preserve">On a scale of 1-5 rate each statement   </w:t>
            </w:r>
          </w:p>
          <w:p w14:paraId="31DB21CA" w14:textId="77777777" w:rsidR="00903CB6" w:rsidRPr="00903CB6" w:rsidRDefault="00903CB6" w:rsidP="00782359">
            <w:r w:rsidRPr="00903CB6">
              <w:t xml:space="preserve">1=poor </w:t>
            </w:r>
            <w:r w:rsidRPr="00903CB6">
              <w:sym w:font="Wingdings" w:char="F04C"/>
            </w:r>
            <w:r w:rsidRPr="00903CB6">
              <w:t xml:space="preserve">, 5=excellent </w:t>
            </w:r>
            <w:r w:rsidRPr="00903CB6">
              <w:sym w:font="Wingdings" w:char="F04A"/>
            </w:r>
            <w:r w:rsidRPr="00903CB6">
              <w:t xml:space="preserve"> </w:t>
            </w:r>
          </w:p>
        </w:tc>
      </w:tr>
      <w:tr w:rsidR="00903CB6" w:rsidRPr="00903CB6" w14:paraId="561A0272" w14:textId="77777777" w:rsidTr="00782359">
        <w:tc>
          <w:tcPr>
            <w:tcW w:w="4621" w:type="dxa"/>
          </w:tcPr>
          <w:p w14:paraId="4F8AEC6B" w14:textId="310A9A14" w:rsidR="00903CB6" w:rsidRPr="00903CB6" w:rsidRDefault="00903CB6" w:rsidP="007204CB">
            <w:pPr>
              <w:jc w:val="both"/>
            </w:pPr>
            <w:r w:rsidRPr="00903CB6">
              <w:t>Drawing diagrams</w:t>
            </w:r>
          </w:p>
        </w:tc>
        <w:tc>
          <w:tcPr>
            <w:tcW w:w="4276" w:type="dxa"/>
          </w:tcPr>
          <w:p w14:paraId="1F9C9C04" w14:textId="45706F0B" w:rsidR="00903CB6" w:rsidRPr="00903CB6" w:rsidRDefault="00903CB6" w:rsidP="00782359"/>
        </w:tc>
      </w:tr>
      <w:tr w:rsidR="00903CB6" w:rsidRPr="00903CB6" w14:paraId="0D3B22DE" w14:textId="77777777" w:rsidTr="00782359">
        <w:tc>
          <w:tcPr>
            <w:tcW w:w="4621" w:type="dxa"/>
          </w:tcPr>
          <w:p w14:paraId="31813DDB" w14:textId="736DAAC9" w:rsidR="00903CB6" w:rsidRPr="00903CB6" w:rsidRDefault="00903CB6" w:rsidP="007204CB">
            <w:pPr>
              <w:jc w:val="both"/>
            </w:pPr>
            <w:r w:rsidRPr="00903CB6">
              <w:t>Following instructions</w:t>
            </w:r>
          </w:p>
        </w:tc>
        <w:tc>
          <w:tcPr>
            <w:tcW w:w="4276" w:type="dxa"/>
          </w:tcPr>
          <w:p w14:paraId="462ED200" w14:textId="77777777" w:rsidR="00903CB6" w:rsidRPr="00903CB6" w:rsidRDefault="00903CB6" w:rsidP="00782359"/>
        </w:tc>
      </w:tr>
      <w:tr w:rsidR="00903CB6" w:rsidRPr="00903CB6" w14:paraId="713D226D" w14:textId="77777777" w:rsidTr="00782359">
        <w:tc>
          <w:tcPr>
            <w:tcW w:w="4621" w:type="dxa"/>
          </w:tcPr>
          <w:p w14:paraId="398F0B1B" w14:textId="25D00C5A" w:rsidR="00903CB6" w:rsidRPr="00903CB6" w:rsidRDefault="00903CB6" w:rsidP="007204CB">
            <w:pPr>
              <w:jc w:val="both"/>
            </w:pPr>
            <w:r w:rsidRPr="00903CB6">
              <w:t>Carrying out experiments with a partner</w:t>
            </w:r>
          </w:p>
        </w:tc>
        <w:tc>
          <w:tcPr>
            <w:tcW w:w="4276" w:type="dxa"/>
          </w:tcPr>
          <w:p w14:paraId="3FA9D42A" w14:textId="77777777" w:rsidR="00903CB6" w:rsidRPr="00903CB6" w:rsidRDefault="00903CB6" w:rsidP="00782359"/>
        </w:tc>
      </w:tr>
      <w:tr w:rsidR="00903CB6" w:rsidRPr="00903CB6" w14:paraId="56C77528" w14:textId="77777777" w:rsidTr="00782359">
        <w:tc>
          <w:tcPr>
            <w:tcW w:w="4621" w:type="dxa"/>
          </w:tcPr>
          <w:p w14:paraId="365D764F" w14:textId="25579E0E" w:rsidR="00903CB6" w:rsidRPr="00903CB6" w:rsidRDefault="00903CB6" w:rsidP="007204CB">
            <w:pPr>
              <w:jc w:val="both"/>
            </w:pPr>
            <w:r w:rsidRPr="00903CB6">
              <w:t>Working safely</w:t>
            </w:r>
          </w:p>
        </w:tc>
        <w:tc>
          <w:tcPr>
            <w:tcW w:w="4276" w:type="dxa"/>
          </w:tcPr>
          <w:p w14:paraId="3A908EEA" w14:textId="77777777" w:rsidR="00903CB6" w:rsidRPr="00903CB6" w:rsidRDefault="00903CB6" w:rsidP="00782359"/>
        </w:tc>
      </w:tr>
      <w:tr w:rsidR="00903CB6" w:rsidRPr="00903CB6" w14:paraId="13A8914C" w14:textId="77777777" w:rsidTr="00782359">
        <w:tc>
          <w:tcPr>
            <w:tcW w:w="4621" w:type="dxa"/>
          </w:tcPr>
          <w:p w14:paraId="6E97654F" w14:textId="6FAFBDD1" w:rsidR="00903CB6" w:rsidRPr="00903CB6" w:rsidRDefault="00903CB6" w:rsidP="007204CB">
            <w:pPr>
              <w:jc w:val="both"/>
            </w:pPr>
            <w:r w:rsidRPr="00903CB6">
              <w:t>Writing conclusions</w:t>
            </w:r>
          </w:p>
        </w:tc>
        <w:tc>
          <w:tcPr>
            <w:tcW w:w="4276" w:type="dxa"/>
          </w:tcPr>
          <w:p w14:paraId="41166835" w14:textId="77777777" w:rsidR="00903CB6" w:rsidRPr="00903CB6" w:rsidRDefault="00903CB6" w:rsidP="00782359"/>
        </w:tc>
      </w:tr>
      <w:tr w:rsidR="00903CB6" w:rsidRPr="00903CB6" w14:paraId="100EDC70" w14:textId="77777777" w:rsidTr="00782359">
        <w:tc>
          <w:tcPr>
            <w:tcW w:w="4621" w:type="dxa"/>
          </w:tcPr>
          <w:p w14:paraId="1A16D558" w14:textId="1BE72C2A" w:rsidR="00903CB6" w:rsidRPr="00903CB6" w:rsidRDefault="00903CB6" w:rsidP="007204CB">
            <w:pPr>
              <w:jc w:val="both"/>
            </w:pPr>
            <w:r w:rsidRPr="00903CB6">
              <w:t>Knowing chemical symbols and bonding values</w:t>
            </w:r>
          </w:p>
        </w:tc>
        <w:tc>
          <w:tcPr>
            <w:tcW w:w="4276" w:type="dxa"/>
          </w:tcPr>
          <w:p w14:paraId="79035633" w14:textId="77777777" w:rsidR="00903CB6" w:rsidRPr="00903CB6" w:rsidRDefault="00903CB6" w:rsidP="00782359"/>
        </w:tc>
      </w:tr>
      <w:tr w:rsidR="00903CB6" w:rsidRPr="00903CB6" w14:paraId="4D1A4B93" w14:textId="77777777" w:rsidTr="00782359">
        <w:tc>
          <w:tcPr>
            <w:tcW w:w="4621" w:type="dxa"/>
          </w:tcPr>
          <w:p w14:paraId="1055C1C2" w14:textId="28989EC6" w:rsidR="00903CB6" w:rsidRPr="00903CB6" w:rsidRDefault="00903CB6" w:rsidP="007204CB">
            <w:pPr>
              <w:jc w:val="both"/>
            </w:pPr>
            <w:r w:rsidRPr="00903CB6">
              <w:t>Drawing graphs</w:t>
            </w:r>
          </w:p>
        </w:tc>
        <w:tc>
          <w:tcPr>
            <w:tcW w:w="4276" w:type="dxa"/>
          </w:tcPr>
          <w:p w14:paraId="44F6DA1C" w14:textId="77777777" w:rsidR="00903CB6" w:rsidRPr="00903CB6" w:rsidRDefault="00903CB6" w:rsidP="00782359"/>
        </w:tc>
      </w:tr>
      <w:tr w:rsidR="00903CB6" w:rsidRPr="00903CB6" w14:paraId="5B4C69EF" w14:textId="77777777" w:rsidTr="00782359">
        <w:tc>
          <w:tcPr>
            <w:tcW w:w="4621" w:type="dxa"/>
          </w:tcPr>
          <w:p w14:paraId="0A3D5271" w14:textId="28E0C99E" w:rsidR="00903CB6" w:rsidRPr="00903CB6" w:rsidRDefault="00903CB6" w:rsidP="007204CB">
            <w:pPr>
              <w:jc w:val="both"/>
            </w:pPr>
            <w:r w:rsidRPr="00903CB6">
              <w:t>Balancing equations</w:t>
            </w:r>
          </w:p>
        </w:tc>
        <w:tc>
          <w:tcPr>
            <w:tcW w:w="4276" w:type="dxa"/>
          </w:tcPr>
          <w:p w14:paraId="6D907E5B" w14:textId="77777777" w:rsidR="00903CB6" w:rsidRPr="00903CB6" w:rsidRDefault="00903CB6" w:rsidP="00782359"/>
        </w:tc>
      </w:tr>
      <w:tr w:rsidR="00903CB6" w:rsidRPr="00903CB6" w14:paraId="3597C5B8" w14:textId="77777777" w:rsidTr="00782359">
        <w:tc>
          <w:tcPr>
            <w:tcW w:w="4621" w:type="dxa"/>
          </w:tcPr>
          <w:p w14:paraId="2700627F" w14:textId="33C7D7C5" w:rsidR="00903CB6" w:rsidRPr="00903CB6" w:rsidRDefault="00903CB6" w:rsidP="007204CB">
            <w:pPr>
              <w:jc w:val="both"/>
            </w:pPr>
            <w:r w:rsidRPr="00903CB6">
              <w:t xml:space="preserve">Doing calculations </w:t>
            </w:r>
          </w:p>
        </w:tc>
        <w:tc>
          <w:tcPr>
            <w:tcW w:w="4276" w:type="dxa"/>
          </w:tcPr>
          <w:p w14:paraId="54CF73BC" w14:textId="77777777" w:rsidR="00903CB6" w:rsidRPr="00903CB6" w:rsidRDefault="00903CB6" w:rsidP="00782359"/>
        </w:tc>
      </w:tr>
      <w:tr w:rsidR="00903CB6" w:rsidRPr="00903CB6" w14:paraId="627893BD" w14:textId="77777777" w:rsidTr="00782359">
        <w:tc>
          <w:tcPr>
            <w:tcW w:w="4621" w:type="dxa"/>
          </w:tcPr>
          <w:p w14:paraId="1359812F" w14:textId="2106B158" w:rsidR="00903CB6" w:rsidRPr="00903CB6" w:rsidRDefault="00903CB6" w:rsidP="007204CB">
            <w:pPr>
              <w:jc w:val="both"/>
            </w:pPr>
            <w:r w:rsidRPr="00903CB6">
              <w:t>Answering in class</w:t>
            </w:r>
          </w:p>
        </w:tc>
        <w:tc>
          <w:tcPr>
            <w:tcW w:w="4276" w:type="dxa"/>
          </w:tcPr>
          <w:p w14:paraId="6BBD9135" w14:textId="77777777" w:rsidR="00903CB6" w:rsidRPr="00903CB6" w:rsidRDefault="00903CB6" w:rsidP="00782359"/>
        </w:tc>
      </w:tr>
    </w:tbl>
    <w:p w14:paraId="46C8B2AB" w14:textId="77777777" w:rsidR="00903CB6" w:rsidRPr="00903CB6" w:rsidRDefault="00903CB6" w:rsidP="00903CB6"/>
    <w:p w14:paraId="1C7B3160" w14:textId="77777777" w:rsidR="00903CB6" w:rsidRPr="00903CB6" w:rsidRDefault="00903CB6" w:rsidP="00903CB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276"/>
      </w:tblGrid>
      <w:tr w:rsidR="00903CB6" w:rsidRPr="00903CB6" w14:paraId="3079B000" w14:textId="77777777" w:rsidTr="00782359">
        <w:tc>
          <w:tcPr>
            <w:tcW w:w="4621" w:type="dxa"/>
          </w:tcPr>
          <w:p w14:paraId="59D67173" w14:textId="4CE1E890" w:rsidR="00903CB6" w:rsidRPr="00903CB6" w:rsidRDefault="00903CB6" w:rsidP="00903CB6">
            <w:pPr>
              <w:rPr>
                <w:b/>
              </w:rPr>
            </w:pPr>
            <w:r w:rsidRPr="00903CB6">
              <w:rPr>
                <w:b/>
              </w:rPr>
              <w:t xml:space="preserve">How do I like to take in information?             </w:t>
            </w:r>
          </w:p>
        </w:tc>
        <w:tc>
          <w:tcPr>
            <w:tcW w:w="4276" w:type="dxa"/>
          </w:tcPr>
          <w:p w14:paraId="12CB33B4" w14:textId="3C2E3BE9" w:rsidR="00903CB6" w:rsidRPr="00903CB6" w:rsidRDefault="00041829" w:rsidP="00782359">
            <w:r>
              <w:t xml:space="preserve">On a scale of </w:t>
            </w:r>
            <w:r w:rsidR="00903CB6" w:rsidRPr="00903CB6">
              <w:t xml:space="preserve">1-5 </w:t>
            </w:r>
            <w:r>
              <w:t>rate each statement</w:t>
            </w:r>
          </w:p>
          <w:p w14:paraId="188B3B96" w14:textId="77777777" w:rsidR="00903CB6" w:rsidRPr="00903CB6" w:rsidRDefault="00903CB6" w:rsidP="00782359">
            <w:pPr>
              <w:rPr>
                <w:b/>
              </w:rPr>
            </w:pPr>
            <w:r w:rsidRPr="00903CB6">
              <w:t xml:space="preserve">1=do not like at all </w:t>
            </w:r>
            <w:r w:rsidRPr="00903CB6">
              <w:sym w:font="Wingdings" w:char="F04C"/>
            </w:r>
            <w:r w:rsidRPr="00903CB6">
              <w:t xml:space="preserve">, 5=like a lot </w:t>
            </w:r>
            <w:r w:rsidRPr="00903CB6">
              <w:sym w:font="Wingdings" w:char="F04A"/>
            </w:r>
          </w:p>
        </w:tc>
      </w:tr>
      <w:tr w:rsidR="00903CB6" w:rsidRPr="00903CB6" w14:paraId="114E9FF3" w14:textId="77777777" w:rsidTr="00782359">
        <w:tc>
          <w:tcPr>
            <w:tcW w:w="4621" w:type="dxa"/>
          </w:tcPr>
          <w:p w14:paraId="4761C6EB" w14:textId="77777777" w:rsidR="00903CB6" w:rsidRPr="00903CB6" w:rsidRDefault="00903CB6" w:rsidP="00782359">
            <w:pPr>
              <w:rPr>
                <w:b/>
              </w:rPr>
            </w:pPr>
            <w:r w:rsidRPr="00903CB6">
              <w:t>Listening to the teacher, then asking questions</w:t>
            </w:r>
          </w:p>
        </w:tc>
        <w:tc>
          <w:tcPr>
            <w:tcW w:w="4276" w:type="dxa"/>
          </w:tcPr>
          <w:p w14:paraId="0D18F3D3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02AB83B3" w14:textId="77777777" w:rsidTr="00782359">
        <w:tc>
          <w:tcPr>
            <w:tcW w:w="4621" w:type="dxa"/>
          </w:tcPr>
          <w:p w14:paraId="105AECE5" w14:textId="345AB01B" w:rsidR="00903CB6" w:rsidRPr="00903CB6" w:rsidRDefault="007204CB" w:rsidP="00782359">
            <w:pPr>
              <w:rPr>
                <w:b/>
              </w:rPr>
            </w:pPr>
            <w:r>
              <w:t>Having clear printed notes</w:t>
            </w:r>
            <w:r w:rsidR="00903CB6" w:rsidRPr="00903CB6">
              <w:t xml:space="preserve"> or notes with gaps to fill in </w:t>
            </w:r>
          </w:p>
        </w:tc>
        <w:tc>
          <w:tcPr>
            <w:tcW w:w="4276" w:type="dxa"/>
          </w:tcPr>
          <w:p w14:paraId="0B3EC8D6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53703184" w14:textId="77777777" w:rsidTr="00782359">
        <w:tc>
          <w:tcPr>
            <w:tcW w:w="4621" w:type="dxa"/>
          </w:tcPr>
          <w:p w14:paraId="08E82839" w14:textId="77777777" w:rsidR="00903CB6" w:rsidRPr="00903CB6" w:rsidRDefault="00903CB6" w:rsidP="00782359">
            <w:pPr>
              <w:rPr>
                <w:b/>
              </w:rPr>
            </w:pPr>
            <w:r w:rsidRPr="00903CB6">
              <w:t xml:space="preserve">Writing my own notes </w:t>
            </w:r>
          </w:p>
        </w:tc>
        <w:tc>
          <w:tcPr>
            <w:tcW w:w="4276" w:type="dxa"/>
          </w:tcPr>
          <w:p w14:paraId="4D5BBD0B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23E49D38" w14:textId="77777777" w:rsidTr="00782359">
        <w:tc>
          <w:tcPr>
            <w:tcW w:w="4621" w:type="dxa"/>
          </w:tcPr>
          <w:p w14:paraId="36D2B507" w14:textId="5387F735" w:rsidR="00903CB6" w:rsidRPr="00903CB6" w:rsidRDefault="00903CB6" w:rsidP="00903CB6">
            <w:pPr>
              <w:rPr>
                <w:b/>
              </w:rPr>
            </w:pPr>
            <w:r w:rsidRPr="00903CB6">
              <w:lastRenderedPageBreak/>
              <w:t>Carrying out experiments</w:t>
            </w:r>
          </w:p>
        </w:tc>
        <w:tc>
          <w:tcPr>
            <w:tcW w:w="4276" w:type="dxa"/>
          </w:tcPr>
          <w:p w14:paraId="4C779D91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2155A5FD" w14:textId="77777777" w:rsidTr="00782359">
        <w:tc>
          <w:tcPr>
            <w:tcW w:w="4621" w:type="dxa"/>
          </w:tcPr>
          <w:p w14:paraId="2D0105F4" w14:textId="085EAEC9" w:rsidR="00903CB6" w:rsidRPr="00903CB6" w:rsidRDefault="00903CB6" w:rsidP="00903CB6">
            <w:pPr>
              <w:rPr>
                <w:b/>
              </w:rPr>
            </w:pPr>
            <w:r w:rsidRPr="00903CB6">
              <w:t xml:space="preserve">Drawing graphs </w:t>
            </w:r>
          </w:p>
        </w:tc>
        <w:tc>
          <w:tcPr>
            <w:tcW w:w="4276" w:type="dxa"/>
          </w:tcPr>
          <w:p w14:paraId="1B4E2E5F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432C7D1F" w14:textId="77777777" w:rsidTr="00782359">
        <w:tc>
          <w:tcPr>
            <w:tcW w:w="4621" w:type="dxa"/>
          </w:tcPr>
          <w:p w14:paraId="0662A986" w14:textId="5ECB18F3" w:rsidR="00903CB6" w:rsidRPr="00903CB6" w:rsidRDefault="00903CB6" w:rsidP="00903CB6">
            <w:r w:rsidRPr="00903CB6">
              <w:t xml:space="preserve">Watching teacher demonstrations </w:t>
            </w:r>
          </w:p>
        </w:tc>
        <w:tc>
          <w:tcPr>
            <w:tcW w:w="4276" w:type="dxa"/>
          </w:tcPr>
          <w:p w14:paraId="120E219F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4950E372" w14:textId="77777777" w:rsidTr="00782359">
        <w:tc>
          <w:tcPr>
            <w:tcW w:w="4621" w:type="dxa"/>
          </w:tcPr>
          <w:p w14:paraId="5FCB1E27" w14:textId="69DEF8A4" w:rsidR="00903CB6" w:rsidRPr="00903CB6" w:rsidRDefault="00903CB6" w:rsidP="00903CB6">
            <w:pPr>
              <w:rPr>
                <w:b/>
              </w:rPr>
            </w:pPr>
            <w:r w:rsidRPr="00903CB6">
              <w:t>Watching films</w:t>
            </w:r>
          </w:p>
        </w:tc>
        <w:tc>
          <w:tcPr>
            <w:tcW w:w="4276" w:type="dxa"/>
          </w:tcPr>
          <w:p w14:paraId="0E50B588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0E591FFF" w14:textId="77777777" w:rsidTr="00782359">
        <w:tc>
          <w:tcPr>
            <w:tcW w:w="4621" w:type="dxa"/>
          </w:tcPr>
          <w:p w14:paraId="099B3388" w14:textId="2686BC29" w:rsidR="00903CB6" w:rsidRPr="00903CB6" w:rsidRDefault="00903CB6" w:rsidP="00903CB6">
            <w:r w:rsidRPr="00903CB6">
              <w:t>Computer-based learning</w:t>
            </w:r>
            <w:r w:rsidR="007204CB">
              <w:t xml:space="preserve"> </w:t>
            </w:r>
            <w:r w:rsidRPr="00903CB6">
              <w:t>programmes</w:t>
            </w:r>
          </w:p>
        </w:tc>
        <w:tc>
          <w:tcPr>
            <w:tcW w:w="4276" w:type="dxa"/>
          </w:tcPr>
          <w:p w14:paraId="2214ADB8" w14:textId="77777777" w:rsidR="00903CB6" w:rsidRPr="00903CB6" w:rsidRDefault="00903CB6" w:rsidP="00782359"/>
        </w:tc>
      </w:tr>
      <w:tr w:rsidR="00903CB6" w:rsidRPr="00903CB6" w14:paraId="319870F7" w14:textId="77777777" w:rsidTr="00782359">
        <w:tc>
          <w:tcPr>
            <w:tcW w:w="4621" w:type="dxa"/>
          </w:tcPr>
          <w:p w14:paraId="3E956746" w14:textId="3A6ECE87" w:rsidR="00903CB6" w:rsidRPr="00903CB6" w:rsidRDefault="00903CB6" w:rsidP="00903CB6">
            <w:r w:rsidRPr="00903CB6">
              <w:t xml:space="preserve">Drawing diagrams and model-making </w:t>
            </w:r>
          </w:p>
        </w:tc>
        <w:tc>
          <w:tcPr>
            <w:tcW w:w="4276" w:type="dxa"/>
          </w:tcPr>
          <w:p w14:paraId="04A7BA08" w14:textId="77777777" w:rsidR="00903CB6" w:rsidRPr="00903CB6" w:rsidRDefault="00903CB6" w:rsidP="00782359"/>
        </w:tc>
      </w:tr>
      <w:tr w:rsidR="00903CB6" w:rsidRPr="00903CB6" w14:paraId="534ABB40" w14:textId="77777777" w:rsidTr="00782359">
        <w:tc>
          <w:tcPr>
            <w:tcW w:w="4621" w:type="dxa"/>
          </w:tcPr>
          <w:p w14:paraId="6D4E78A4" w14:textId="7D65D43B" w:rsidR="00903CB6" w:rsidRPr="00903CB6" w:rsidRDefault="00903CB6" w:rsidP="00903CB6">
            <w:r w:rsidRPr="00903CB6">
              <w:t xml:space="preserve">Balancing equations </w:t>
            </w:r>
          </w:p>
        </w:tc>
        <w:tc>
          <w:tcPr>
            <w:tcW w:w="4276" w:type="dxa"/>
          </w:tcPr>
          <w:p w14:paraId="76772170" w14:textId="77777777" w:rsidR="00903CB6" w:rsidRPr="00903CB6" w:rsidRDefault="00903CB6" w:rsidP="00782359">
            <w:pPr>
              <w:rPr>
                <w:b/>
              </w:rPr>
            </w:pPr>
          </w:p>
        </w:tc>
      </w:tr>
    </w:tbl>
    <w:p w14:paraId="74FE5FF0" w14:textId="77777777" w:rsidR="00903CB6" w:rsidRPr="00903CB6" w:rsidRDefault="00903CB6" w:rsidP="00903CB6">
      <w:r w:rsidRPr="00903CB6">
        <w:t xml:space="preserve">  </w:t>
      </w:r>
    </w:p>
    <w:p w14:paraId="461B2627" w14:textId="77777777" w:rsidR="00903CB6" w:rsidRPr="00903CB6" w:rsidRDefault="00903CB6" w:rsidP="00903CB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276"/>
      </w:tblGrid>
      <w:tr w:rsidR="00903CB6" w:rsidRPr="00903CB6" w14:paraId="16D5CE73" w14:textId="77777777" w:rsidTr="00782359">
        <w:tc>
          <w:tcPr>
            <w:tcW w:w="4621" w:type="dxa"/>
          </w:tcPr>
          <w:p w14:paraId="25C853BD" w14:textId="2F128CC9" w:rsidR="00903CB6" w:rsidRPr="00903CB6" w:rsidRDefault="00903CB6" w:rsidP="00782359">
            <w:pPr>
              <w:rPr>
                <w:b/>
              </w:rPr>
            </w:pPr>
            <w:r w:rsidRPr="00903CB6">
              <w:rPr>
                <w:b/>
              </w:rPr>
              <w:t>Type of lessons I am inspired by</w:t>
            </w:r>
          </w:p>
        </w:tc>
        <w:tc>
          <w:tcPr>
            <w:tcW w:w="4276" w:type="dxa"/>
          </w:tcPr>
          <w:p w14:paraId="5C6C38FF" w14:textId="77777777" w:rsidR="00041829" w:rsidRPr="00903CB6" w:rsidRDefault="00041829" w:rsidP="00041829">
            <w:r>
              <w:t xml:space="preserve">On a scale of </w:t>
            </w:r>
            <w:r w:rsidRPr="00903CB6">
              <w:t xml:space="preserve">1-5 </w:t>
            </w:r>
            <w:r>
              <w:t>rate each statement</w:t>
            </w:r>
          </w:p>
          <w:p w14:paraId="10869A30" w14:textId="77777777" w:rsidR="00903CB6" w:rsidRPr="00903CB6" w:rsidRDefault="00903CB6" w:rsidP="00782359">
            <w:pPr>
              <w:rPr>
                <w:b/>
              </w:rPr>
            </w:pPr>
            <w:bookmarkStart w:id="0" w:name="_GoBack"/>
            <w:bookmarkEnd w:id="0"/>
            <w:r w:rsidRPr="00903CB6">
              <w:t xml:space="preserve">1=not inspiring </w:t>
            </w:r>
            <w:r w:rsidRPr="00903CB6">
              <w:sym w:font="Wingdings" w:char="F04C"/>
            </w:r>
            <w:r w:rsidRPr="00903CB6">
              <w:t xml:space="preserve">, 5=very inspiring </w:t>
            </w:r>
            <w:r w:rsidRPr="00903CB6">
              <w:sym w:font="Wingdings" w:char="F04A"/>
            </w:r>
          </w:p>
        </w:tc>
      </w:tr>
      <w:tr w:rsidR="00903CB6" w:rsidRPr="00903CB6" w14:paraId="23A1D90B" w14:textId="77777777" w:rsidTr="00782359">
        <w:tc>
          <w:tcPr>
            <w:tcW w:w="4621" w:type="dxa"/>
          </w:tcPr>
          <w:p w14:paraId="60E64EF4" w14:textId="04813D2D" w:rsidR="00903CB6" w:rsidRPr="00903CB6" w:rsidRDefault="00903CB6" w:rsidP="00903CB6">
            <w:pPr>
              <w:rPr>
                <w:b/>
              </w:rPr>
            </w:pPr>
            <w:r w:rsidRPr="00903CB6">
              <w:t>Doing my own experiments</w:t>
            </w:r>
          </w:p>
        </w:tc>
        <w:tc>
          <w:tcPr>
            <w:tcW w:w="4276" w:type="dxa"/>
          </w:tcPr>
          <w:p w14:paraId="7E6FD741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0ACD8EEB" w14:textId="77777777" w:rsidTr="00782359">
        <w:tc>
          <w:tcPr>
            <w:tcW w:w="4621" w:type="dxa"/>
          </w:tcPr>
          <w:p w14:paraId="70C21362" w14:textId="39FADFF8" w:rsidR="00903CB6" w:rsidRPr="00903CB6" w:rsidRDefault="00903CB6" w:rsidP="00903CB6">
            <w:pPr>
              <w:rPr>
                <w:b/>
              </w:rPr>
            </w:pPr>
            <w:r w:rsidRPr="00903CB6">
              <w:t>Watching the teacher showing demonstrations</w:t>
            </w:r>
          </w:p>
        </w:tc>
        <w:tc>
          <w:tcPr>
            <w:tcW w:w="4276" w:type="dxa"/>
          </w:tcPr>
          <w:p w14:paraId="606E8412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7B445A79" w14:textId="77777777" w:rsidTr="00782359">
        <w:tc>
          <w:tcPr>
            <w:tcW w:w="4621" w:type="dxa"/>
          </w:tcPr>
          <w:p w14:paraId="47B134D3" w14:textId="2D3598D0" w:rsidR="00903CB6" w:rsidRPr="00903CB6" w:rsidRDefault="00903CB6" w:rsidP="00903CB6">
            <w:pPr>
              <w:rPr>
                <w:b/>
              </w:rPr>
            </w:pPr>
            <w:r w:rsidRPr="00903CB6">
              <w:t xml:space="preserve">Doing a long-term investigation </w:t>
            </w:r>
          </w:p>
        </w:tc>
        <w:tc>
          <w:tcPr>
            <w:tcW w:w="4276" w:type="dxa"/>
          </w:tcPr>
          <w:p w14:paraId="74444CD4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664C384C" w14:textId="77777777" w:rsidTr="00782359">
        <w:tc>
          <w:tcPr>
            <w:tcW w:w="4621" w:type="dxa"/>
          </w:tcPr>
          <w:p w14:paraId="7654DFA0" w14:textId="7DBF98CF" w:rsidR="00903CB6" w:rsidRPr="00903CB6" w:rsidRDefault="00903CB6" w:rsidP="00903CB6">
            <w:pPr>
              <w:rPr>
                <w:b/>
              </w:rPr>
            </w:pPr>
            <w:r w:rsidRPr="00903CB6">
              <w:t xml:space="preserve">Watching films </w:t>
            </w:r>
          </w:p>
        </w:tc>
        <w:tc>
          <w:tcPr>
            <w:tcW w:w="4276" w:type="dxa"/>
          </w:tcPr>
          <w:p w14:paraId="3113F935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7006CBEA" w14:textId="77777777" w:rsidTr="00782359">
        <w:tc>
          <w:tcPr>
            <w:tcW w:w="4621" w:type="dxa"/>
          </w:tcPr>
          <w:p w14:paraId="70519316" w14:textId="2502806C" w:rsidR="00903CB6" w:rsidRPr="00903CB6" w:rsidRDefault="00903CB6" w:rsidP="00903CB6">
            <w:pPr>
              <w:rPr>
                <w:b/>
              </w:rPr>
            </w:pPr>
            <w:r w:rsidRPr="00903CB6">
              <w:t>Relating chemistry to the real world</w:t>
            </w:r>
          </w:p>
        </w:tc>
        <w:tc>
          <w:tcPr>
            <w:tcW w:w="4276" w:type="dxa"/>
          </w:tcPr>
          <w:p w14:paraId="0484A6FC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413ACC53" w14:textId="77777777" w:rsidTr="00782359">
        <w:tc>
          <w:tcPr>
            <w:tcW w:w="4621" w:type="dxa"/>
          </w:tcPr>
          <w:p w14:paraId="0962BAAE" w14:textId="77D98D2B" w:rsidR="00903CB6" w:rsidRPr="00903CB6" w:rsidRDefault="00903CB6" w:rsidP="00903CB6">
            <w:pPr>
              <w:rPr>
                <w:b/>
              </w:rPr>
            </w:pPr>
            <w:r w:rsidRPr="00903CB6">
              <w:t xml:space="preserve">Model-making </w:t>
            </w:r>
          </w:p>
        </w:tc>
        <w:tc>
          <w:tcPr>
            <w:tcW w:w="4276" w:type="dxa"/>
          </w:tcPr>
          <w:p w14:paraId="2BA0571D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092BD2E9" w14:textId="77777777" w:rsidTr="00782359">
        <w:tc>
          <w:tcPr>
            <w:tcW w:w="4621" w:type="dxa"/>
          </w:tcPr>
          <w:p w14:paraId="0965E2C8" w14:textId="226B39C0" w:rsidR="00903CB6" w:rsidRPr="00903CB6" w:rsidRDefault="00903CB6" w:rsidP="00903CB6">
            <w:pPr>
              <w:rPr>
                <w:b/>
              </w:rPr>
            </w:pPr>
            <w:r w:rsidRPr="00903CB6">
              <w:t xml:space="preserve">Outside visits </w:t>
            </w:r>
          </w:p>
        </w:tc>
        <w:tc>
          <w:tcPr>
            <w:tcW w:w="4276" w:type="dxa"/>
          </w:tcPr>
          <w:p w14:paraId="24B9DBA3" w14:textId="77777777" w:rsidR="00903CB6" w:rsidRPr="00903CB6" w:rsidRDefault="00903CB6" w:rsidP="00782359">
            <w:pPr>
              <w:rPr>
                <w:b/>
              </w:rPr>
            </w:pPr>
          </w:p>
        </w:tc>
      </w:tr>
      <w:tr w:rsidR="00903CB6" w:rsidRPr="00903CB6" w14:paraId="429D3C80" w14:textId="77777777" w:rsidTr="00782359">
        <w:tc>
          <w:tcPr>
            <w:tcW w:w="4621" w:type="dxa"/>
          </w:tcPr>
          <w:p w14:paraId="492C9475" w14:textId="57E4F89B" w:rsidR="00903CB6" w:rsidRPr="00903CB6" w:rsidRDefault="00903CB6" w:rsidP="00903CB6">
            <w:r w:rsidRPr="00903CB6">
              <w:t xml:space="preserve">Computer-based work </w:t>
            </w:r>
          </w:p>
        </w:tc>
        <w:tc>
          <w:tcPr>
            <w:tcW w:w="4276" w:type="dxa"/>
          </w:tcPr>
          <w:p w14:paraId="4E48316F" w14:textId="77777777" w:rsidR="00903CB6" w:rsidRPr="00903CB6" w:rsidRDefault="00903CB6" w:rsidP="00782359"/>
        </w:tc>
      </w:tr>
      <w:tr w:rsidR="00903CB6" w:rsidRPr="00903CB6" w14:paraId="153EC2A1" w14:textId="77777777" w:rsidTr="00782359">
        <w:tc>
          <w:tcPr>
            <w:tcW w:w="4621" w:type="dxa"/>
          </w:tcPr>
          <w:p w14:paraId="5E311954" w14:textId="7BD6D4E4" w:rsidR="00903CB6" w:rsidRPr="00903CB6" w:rsidRDefault="00903CB6" w:rsidP="00903CB6">
            <w:r w:rsidRPr="00903CB6">
              <w:t xml:space="preserve">Creating something fun </w:t>
            </w:r>
          </w:p>
        </w:tc>
        <w:tc>
          <w:tcPr>
            <w:tcW w:w="4276" w:type="dxa"/>
          </w:tcPr>
          <w:p w14:paraId="1CA58728" w14:textId="77777777" w:rsidR="00903CB6" w:rsidRPr="00903CB6" w:rsidRDefault="00903CB6" w:rsidP="00782359"/>
        </w:tc>
      </w:tr>
      <w:tr w:rsidR="00903CB6" w:rsidRPr="00903CB6" w14:paraId="78F78401" w14:textId="77777777" w:rsidTr="00782359">
        <w:tc>
          <w:tcPr>
            <w:tcW w:w="4621" w:type="dxa"/>
          </w:tcPr>
          <w:p w14:paraId="32C0733F" w14:textId="5204EF63" w:rsidR="00903CB6" w:rsidRPr="00903CB6" w:rsidRDefault="00903CB6" w:rsidP="00903CB6">
            <w:r w:rsidRPr="00903CB6">
              <w:t>Learning about modern scientists</w:t>
            </w:r>
          </w:p>
        </w:tc>
        <w:tc>
          <w:tcPr>
            <w:tcW w:w="4276" w:type="dxa"/>
          </w:tcPr>
          <w:p w14:paraId="1C11FBD9" w14:textId="77777777" w:rsidR="00903CB6" w:rsidRPr="00903CB6" w:rsidRDefault="00903CB6" w:rsidP="00782359">
            <w:pPr>
              <w:rPr>
                <w:b/>
              </w:rPr>
            </w:pPr>
          </w:p>
        </w:tc>
      </w:tr>
    </w:tbl>
    <w:p w14:paraId="4A9001D7" w14:textId="77777777" w:rsidR="00903CB6" w:rsidRDefault="00903CB6" w:rsidP="00903CB6">
      <w:pPr>
        <w:rPr>
          <w:sz w:val="24"/>
          <w:szCs w:val="24"/>
        </w:rPr>
      </w:pPr>
      <w:r w:rsidRPr="00886D1D">
        <w:rPr>
          <w:sz w:val="24"/>
          <w:szCs w:val="24"/>
        </w:rPr>
        <w:t xml:space="preserve">  </w:t>
      </w:r>
    </w:p>
    <w:p w14:paraId="416654EB" w14:textId="228F88B0" w:rsidR="007705C4" w:rsidRDefault="007705C4" w:rsidP="0005693A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960EA3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A68F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A68F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D9CF65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A68F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A68F2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1829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A68F2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04CB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3CB6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B76A6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1FE7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Unlocking potential with self-assessments</vt:lpstr>
    </vt:vector>
  </TitlesOfParts>
  <Company>Royal Society of Chemistry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Unlocking potential with self-assessments</dc:title>
  <dc:subject>Demonstration silver acetylide as a contact explosive</dc:subject>
  <dc:creator>Royal Society of Chemistry</dc:creator>
  <dc:description>Unlocking potential with self-assessments</dc:description>
  <cp:lastModifiedBy>Lisa Clatworthy</cp:lastModifiedBy>
  <cp:revision>6</cp:revision>
  <cp:lastPrinted>2018-11-21T13:44:00Z</cp:lastPrinted>
  <dcterms:created xsi:type="dcterms:W3CDTF">2018-10-29T15:06:00Z</dcterms:created>
  <dcterms:modified xsi:type="dcterms:W3CDTF">2018-11-21T13:44:00Z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