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422B" w14:textId="361F64C4" w:rsidR="0041788F" w:rsidRDefault="00647D49" w:rsidP="00CE49E2">
      <w:pPr>
        <w:pStyle w:val="Heading1"/>
      </w:pPr>
      <w:r>
        <w:t>The Briggs-Rauscher oscillating reaction</w:t>
      </w:r>
    </w:p>
    <w:p w14:paraId="4FB10F87" w14:textId="40199B9E" w:rsidR="0005693A" w:rsidRPr="007E4232" w:rsidRDefault="0005693A" w:rsidP="007E4232">
      <w:pPr>
        <w:pStyle w:val="Leadparagraph"/>
        <w:rPr>
          <w:rStyle w:val="LeadparagraphChar"/>
        </w:rPr>
      </w:pPr>
      <w:r w:rsidRPr="009875B2">
        <w:rPr>
          <w:rStyle w:val="LeadparagraphChar"/>
          <w:b/>
          <w:i/>
        </w:rPr>
        <w:t>Education in Chemistry</w:t>
      </w:r>
      <w:r>
        <w:rPr>
          <w:rStyle w:val="LeadparagraphChar"/>
          <w:b/>
        </w:rPr>
        <w:br/>
      </w:r>
      <w:r w:rsidR="00ED0F61">
        <w:rPr>
          <w:rStyle w:val="LeadparagraphChar"/>
        </w:rPr>
        <w:t>March</w:t>
      </w:r>
      <w:r w:rsidR="006F05C7">
        <w:rPr>
          <w:rStyle w:val="LeadparagraphChar"/>
        </w:rPr>
        <w:t xml:space="preserve"> 2019</w:t>
      </w:r>
      <w:r>
        <w:rPr>
          <w:rStyle w:val="LeadparagraphChar"/>
        </w:rPr>
        <w:br/>
      </w:r>
      <w:r w:rsidR="007E4232" w:rsidRPr="007E4232">
        <w:rPr>
          <w:rStyle w:val="LeadparagraphChar"/>
        </w:rPr>
        <w:t>rsc.li/2EujEzv</w:t>
      </w:r>
    </w:p>
    <w:p w14:paraId="5D5609EC" w14:textId="05A4505F" w:rsidR="0005693A" w:rsidRDefault="0041788F" w:rsidP="0005693A">
      <w:pPr>
        <w:pStyle w:val="Heading2"/>
      </w:pPr>
      <w:r>
        <w:t>Technician notes</w:t>
      </w:r>
    </w:p>
    <w:p w14:paraId="3E4912E3" w14:textId="77777777" w:rsidR="00451339" w:rsidRDefault="00451339" w:rsidP="00451339">
      <w:pPr>
        <w:pStyle w:val="Heading3"/>
      </w:pPr>
      <w:r>
        <w:t>Kit</w:t>
      </w:r>
    </w:p>
    <w:p w14:paraId="4D42ECC5"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20 cm</w:t>
      </w:r>
      <w:r w:rsidRPr="00647D49">
        <w:rPr>
          <w:rFonts w:eastAsia="Times New Roman"/>
          <w:color w:val="000000"/>
          <w:vertAlign w:val="superscript"/>
          <w:lang w:eastAsia="en-GB"/>
        </w:rPr>
        <w:t>3</w:t>
      </w:r>
      <w:r w:rsidRPr="00647D49">
        <w:rPr>
          <w:rFonts w:eastAsia="Times New Roman"/>
          <w:color w:val="000000"/>
          <w:lang w:eastAsia="en-GB"/>
        </w:rPr>
        <w:t xml:space="preserve"> of 10 </w:t>
      </w:r>
      <w:proofErr w:type="spellStart"/>
      <w:r w:rsidRPr="00647D49">
        <w:rPr>
          <w:rFonts w:eastAsia="Times New Roman"/>
          <w:color w:val="000000"/>
          <w:lang w:eastAsia="en-GB"/>
        </w:rPr>
        <w:t>vol</w:t>
      </w:r>
      <w:proofErr w:type="spellEnd"/>
      <w:r w:rsidRPr="00647D49">
        <w:rPr>
          <w:rFonts w:eastAsia="Times New Roman"/>
          <w:color w:val="000000"/>
          <w:lang w:eastAsia="en-GB"/>
        </w:rPr>
        <w:t xml:space="preserve"> hydrogen peroxide solution</w:t>
      </w:r>
    </w:p>
    <w:p w14:paraId="1B821304"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1.2 g potassium iodate(V) (oxidising, irritating, harmful if swallowed)</w:t>
      </w:r>
    </w:p>
    <w:p w14:paraId="682044EF"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20 cm</w:t>
      </w:r>
      <w:r w:rsidRPr="00647D49">
        <w:rPr>
          <w:rFonts w:eastAsia="Times New Roman"/>
          <w:color w:val="000000"/>
          <w:vertAlign w:val="superscript"/>
          <w:lang w:eastAsia="en-GB"/>
        </w:rPr>
        <w:t>3</w:t>
      </w:r>
      <w:r w:rsidRPr="00647D49">
        <w:rPr>
          <w:rFonts w:eastAsia="Times New Roman"/>
          <w:color w:val="000000"/>
          <w:lang w:eastAsia="en-GB"/>
        </w:rPr>
        <w:t xml:space="preserve"> of </w:t>
      </w:r>
      <w:proofErr w:type="spellStart"/>
      <w:r w:rsidRPr="00647D49">
        <w:rPr>
          <w:rFonts w:eastAsia="Times New Roman"/>
          <w:color w:val="000000"/>
          <w:lang w:eastAsia="en-GB"/>
        </w:rPr>
        <w:t>sulfuric</w:t>
      </w:r>
      <w:proofErr w:type="spellEnd"/>
      <w:r w:rsidRPr="00647D49">
        <w:rPr>
          <w:rFonts w:eastAsia="Times New Roman"/>
          <w:color w:val="000000"/>
          <w:lang w:eastAsia="en-GB"/>
        </w:rPr>
        <w:t xml:space="preserve"> acid (0.1 M)</w:t>
      </w:r>
    </w:p>
    <w:p w14:paraId="390185C7"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0.4 g of malonic (</w:t>
      </w:r>
      <w:proofErr w:type="spellStart"/>
      <w:r w:rsidRPr="00647D49">
        <w:rPr>
          <w:rFonts w:eastAsia="Times New Roman"/>
          <w:color w:val="000000"/>
          <w:lang w:eastAsia="en-GB"/>
        </w:rPr>
        <w:t>propanedioic</w:t>
      </w:r>
      <w:proofErr w:type="spellEnd"/>
      <w:r w:rsidRPr="00647D49">
        <w:rPr>
          <w:rFonts w:eastAsia="Times New Roman"/>
          <w:color w:val="000000"/>
          <w:lang w:eastAsia="en-GB"/>
        </w:rPr>
        <w:t>) acid (irritating, harmful if swallowed)</w:t>
      </w:r>
    </w:p>
    <w:p w14:paraId="0A75EDED"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 xml:space="preserve">0.09 g manganese </w:t>
      </w:r>
      <w:proofErr w:type="spellStart"/>
      <w:r w:rsidRPr="00647D49">
        <w:rPr>
          <w:rFonts w:eastAsia="Times New Roman"/>
          <w:color w:val="000000"/>
          <w:lang w:eastAsia="en-GB"/>
        </w:rPr>
        <w:t>sulfate</w:t>
      </w:r>
      <w:proofErr w:type="spellEnd"/>
      <w:r w:rsidRPr="00647D49">
        <w:rPr>
          <w:rFonts w:eastAsia="Times New Roman"/>
          <w:color w:val="000000"/>
          <w:lang w:eastAsia="en-GB"/>
        </w:rPr>
        <w:t>(VI) monohydrate (may cause damage to organs through repeated/prolonged exposure, toxic to aquatic life)</w:t>
      </w:r>
    </w:p>
    <w:p w14:paraId="69354D46"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magnetic stirrer and follower</w:t>
      </w:r>
    </w:p>
    <w:p w14:paraId="3CE26EC4"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100 cm</w:t>
      </w:r>
      <w:r w:rsidRPr="00647D49">
        <w:rPr>
          <w:rFonts w:eastAsia="Times New Roman"/>
          <w:color w:val="000000"/>
          <w:vertAlign w:val="superscript"/>
          <w:lang w:eastAsia="en-GB"/>
        </w:rPr>
        <w:t>3</w:t>
      </w:r>
      <w:r w:rsidRPr="00647D49">
        <w:rPr>
          <w:rFonts w:eastAsia="Times New Roman"/>
          <w:color w:val="000000"/>
          <w:lang w:eastAsia="en-GB"/>
        </w:rPr>
        <w:t xml:space="preserve"> conical flask or beaker</w:t>
      </w:r>
    </w:p>
    <w:p w14:paraId="55C0241A" w14:textId="77777777" w:rsidR="00647D49" w:rsidRPr="00647D49" w:rsidRDefault="00647D49" w:rsidP="00647D49">
      <w:pPr>
        <w:keepLines w:val="0"/>
        <w:numPr>
          <w:ilvl w:val="0"/>
          <w:numId w:val="10"/>
        </w:numPr>
        <w:spacing w:after="0"/>
        <w:ind w:left="450" w:right="150"/>
        <w:rPr>
          <w:rFonts w:eastAsia="Times New Roman"/>
          <w:color w:val="000000"/>
          <w:lang w:eastAsia="en-GB"/>
        </w:rPr>
      </w:pPr>
      <w:r w:rsidRPr="00647D49">
        <w:rPr>
          <w:rFonts w:eastAsia="Times New Roman"/>
          <w:color w:val="000000"/>
          <w:lang w:eastAsia="en-GB"/>
        </w:rPr>
        <w:t>1 cm</w:t>
      </w:r>
      <w:r w:rsidRPr="00647D49">
        <w:rPr>
          <w:rFonts w:eastAsia="Times New Roman"/>
          <w:color w:val="000000"/>
          <w:vertAlign w:val="superscript"/>
          <w:lang w:eastAsia="en-GB"/>
        </w:rPr>
        <w:t>3</w:t>
      </w:r>
      <w:r w:rsidRPr="00647D49">
        <w:rPr>
          <w:rFonts w:eastAsia="Times New Roman"/>
          <w:color w:val="000000"/>
          <w:lang w:eastAsia="en-GB"/>
        </w:rPr>
        <w:t xml:space="preserve"> of fresh 1% starch solution</w:t>
      </w:r>
    </w:p>
    <w:p w14:paraId="1EE55545" w14:textId="77777777" w:rsidR="006F05C7" w:rsidRDefault="006F05C7" w:rsidP="006F05C7">
      <w:pPr>
        <w:pStyle w:val="ListParagraph"/>
        <w:keepLines w:val="0"/>
        <w:spacing w:after="0"/>
      </w:pPr>
    </w:p>
    <w:p w14:paraId="4B7B109E" w14:textId="77777777" w:rsidR="00451339" w:rsidRDefault="00451339" w:rsidP="00451339">
      <w:pPr>
        <w:pStyle w:val="Heading3"/>
      </w:pPr>
      <w:r>
        <w:t>Preparation</w:t>
      </w:r>
    </w:p>
    <w:p w14:paraId="2EE0145B" w14:textId="6523023D" w:rsidR="006F05C7" w:rsidRPr="00647D49" w:rsidRDefault="00647D49" w:rsidP="00451339">
      <w:r w:rsidRPr="00647D49">
        <w:rPr>
          <w:color w:val="000000"/>
          <w:shd w:val="clear" w:color="auto" w:fill="FFFFFF"/>
        </w:rPr>
        <w:t xml:space="preserve">Wear eye protection and avoid raising dust when weighing out the solids. Label the hydrogen peroxide solution ‘A’. Dissolve 1.2 g potassium </w:t>
      </w:r>
      <w:proofErr w:type="gramStart"/>
      <w:r w:rsidRPr="00647D49">
        <w:rPr>
          <w:color w:val="000000"/>
          <w:shd w:val="clear" w:color="auto" w:fill="FFFFFF"/>
        </w:rPr>
        <w:t>iodate(</w:t>
      </w:r>
      <w:proofErr w:type="gramEnd"/>
      <w:r w:rsidRPr="00647D49">
        <w:rPr>
          <w:color w:val="000000"/>
          <w:shd w:val="clear" w:color="auto" w:fill="FFFFFF"/>
        </w:rPr>
        <w:t>V) in 20 cm</w:t>
      </w:r>
      <w:r w:rsidRPr="00185EF5">
        <w:rPr>
          <w:color w:val="000000"/>
          <w:shd w:val="clear" w:color="auto" w:fill="FFFFFF"/>
          <w:vertAlign w:val="superscript"/>
        </w:rPr>
        <w:t>3</w:t>
      </w:r>
      <w:r w:rsidRPr="00647D49">
        <w:rPr>
          <w:color w:val="000000"/>
          <w:shd w:val="clear" w:color="auto" w:fill="FFFFFF"/>
        </w:rPr>
        <w:t xml:space="preserve"> of </w:t>
      </w:r>
      <w:proofErr w:type="spellStart"/>
      <w:r w:rsidRPr="00647D49">
        <w:rPr>
          <w:color w:val="000000"/>
          <w:shd w:val="clear" w:color="auto" w:fill="FFFFFF"/>
        </w:rPr>
        <w:t>sulfuric</w:t>
      </w:r>
      <w:proofErr w:type="spellEnd"/>
      <w:r w:rsidRPr="00647D49">
        <w:rPr>
          <w:color w:val="000000"/>
          <w:shd w:val="clear" w:color="auto" w:fill="FFFFFF"/>
        </w:rPr>
        <w:t xml:space="preserve">(VI) acid (0.1 M) and label this solution ‘B’. Label the starch solution ‘C’. Dissolve 0.4 g malonic acid and 0.09 g manganese </w:t>
      </w:r>
      <w:proofErr w:type="spellStart"/>
      <w:proofErr w:type="gramStart"/>
      <w:r w:rsidRPr="00647D49">
        <w:rPr>
          <w:color w:val="000000"/>
          <w:shd w:val="clear" w:color="auto" w:fill="FFFFFF"/>
        </w:rPr>
        <w:t>sulfate</w:t>
      </w:r>
      <w:proofErr w:type="spellEnd"/>
      <w:r w:rsidRPr="00647D49">
        <w:rPr>
          <w:color w:val="000000"/>
          <w:shd w:val="clear" w:color="auto" w:fill="FFFFFF"/>
        </w:rPr>
        <w:t>(</w:t>
      </w:r>
      <w:proofErr w:type="gramEnd"/>
      <w:r w:rsidRPr="00647D49">
        <w:rPr>
          <w:color w:val="000000"/>
          <w:shd w:val="clear" w:color="auto" w:fill="FFFFFF"/>
        </w:rPr>
        <w:t>VI) monohydrate in 20 cm</w:t>
      </w:r>
      <w:r w:rsidRPr="00185EF5">
        <w:rPr>
          <w:color w:val="000000"/>
          <w:shd w:val="clear" w:color="auto" w:fill="FFFFFF"/>
          <w:vertAlign w:val="superscript"/>
        </w:rPr>
        <w:t>3</w:t>
      </w:r>
      <w:r w:rsidRPr="00647D49">
        <w:rPr>
          <w:color w:val="000000"/>
          <w:shd w:val="clear" w:color="auto" w:fill="FFFFFF"/>
        </w:rPr>
        <w:t xml:space="preserve"> of deionised water – label this solution ‘D’.</w:t>
      </w:r>
    </w:p>
    <w:p w14:paraId="1FC8E628" w14:textId="77777777" w:rsidR="00451339" w:rsidRDefault="00451339" w:rsidP="00451339">
      <w:pPr>
        <w:pStyle w:val="Heading3"/>
      </w:pPr>
      <w:r>
        <w:t>In front of the class</w:t>
      </w:r>
    </w:p>
    <w:p w14:paraId="416654EB" w14:textId="57016D55" w:rsidR="007705C4" w:rsidRDefault="00647D49" w:rsidP="0005693A">
      <w:pPr>
        <w:rPr>
          <w:color w:val="000000"/>
          <w:shd w:val="clear" w:color="auto" w:fill="FFFFFF"/>
        </w:rPr>
      </w:pPr>
      <w:r>
        <w:rPr>
          <w:color w:val="000000"/>
          <w:shd w:val="clear" w:color="auto" w:fill="FFFFFF"/>
        </w:rPr>
        <w:t>A</w:t>
      </w:r>
      <w:r w:rsidRPr="00647D49">
        <w:rPr>
          <w:color w:val="000000"/>
          <w:shd w:val="clear" w:color="auto" w:fill="FFFFFF"/>
        </w:rPr>
        <w:t>dd the solutions to a beaker or conical flask placed on a magnetic stirrer in alphabetical order. After a short induction period, the colourless solution will turn orange, then black, and return to colourless before repeating for approximately five minutes – finally settling in the black form</w:t>
      </w:r>
      <w:r w:rsidR="006F05C7" w:rsidRPr="006F05C7">
        <w:rPr>
          <w:color w:val="000000"/>
          <w:shd w:val="clear" w:color="auto" w:fill="FFFFFF"/>
        </w:rPr>
        <w:t>.</w:t>
      </w:r>
    </w:p>
    <w:p w14:paraId="0D83A76A" w14:textId="303722DF" w:rsidR="00B4584C" w:rsidRDefault="00B4584C" w:rsidP="00B4584C">
      <w:pPr>
        <w:pStyle w:val="Heading3"/>
      </w:pPr>
      <w:r>
        <w:t>Disposal and safety</w:t>
      </w:r>
    </w:p>
    <w:p w14:paraId="2A16DFB1" w14:textId="77777777" w:rsidR="00B4584C" w:rsidRPr="00B4584C" w:rsidRDefault="00B4584C" w:rsidP="00B4584C">
      <w:pPr>
        <w:pStyle w:val="BoxbodyflushBoxes"/>
        <w:tabs>
          <w:tab w:val="left" w:pos="57"/>
          <w:tab w:val="left" w:pos="170"/>
          <w:tab w:val="left" w:pos="1020"/>
        </w:tabs>
        <w:suppressAutoHyphens/>
        <w:spacing w:before="113"/>
        <w:rPr>
          <w:rFonts w:ascii="Arial" w:hAnsi="Arial" w:cs="Arial"/>
          <w:sz w:val="20"/>
          <w:szCs w:val="20"/>
        </w:rPr>
      </w:pPr>
      <w:r w:rsidRPr="00B4584C">
        <w:rPr>
          <w:rFonts w:ascii="Arial" w:hAnsi="Arial" w:cs="Arial"/>
          <w:sz w:val="20"/>
          <w:szCs w:val="20"/>
        </w:rPr>
        <w:t>At the end of the demonstration there will be some solid iodine at the base of the vessel that can be reduced with sodium thiosulfate before the solution is poured down the sink with plenty of water.</w:t>
      </w:r>
    </w:p>
    <w:p w14:paraId="4A904CA9" w14:textId="77777777" w:rsidR="00B4584C" w:rsidRPr="00B4584C" w:rsidRDefault="00B4584C" w:rsidP="00B4584C">
      <w:pPr>
        <w:pStyle w:val="BoxbodyflushBoxes"/>
        <w:tabs>
          <w:tab w:val="left" w:pos="170"/>
          <w:tab w:val="left" w:pos="1020"/>
        </w:tabs>
        <w:suppressAutoHyphens/>
        <w:spacing w:before="113"/>
        <w:rPr>
          <w:rFonts w:ascii="Arial" w:hAnsi="Arial" w:cs="Arial"/>
          <w:sz w:val="20"/>
          <w:szCs w:val="20"/>
        </w:rPr>
      </w:pPr>
      <w:r w:rsidRPr="00B4584C">
        <w:rPr>
          <w:rFonts w:ascii="Arial" w:hAnsi="Arial" w:cs="Arial"/>
          <w:sz w:val="20"/>
          <w:szCs w:val="20"/>
        </w:rPr>
        <w:t>CLEAPSS members should consult CLEAPS</w:t>
      </w:r>
      <w:bookmarkStart w:id="0" w:name="_GoBack"/>
      <w:bookmarkEnd w:id="0"/>
      <w:r w:rsidRPr="00B4584C">
        <w:rPr>
          <w:rFonts w:ascii="Arial" w:hAnsi="Arial" w:cs="Arial"/>
          <w:sz w:val="20"/>
          <w:szCs w:val="20"/>
        </w:rPr>
        <w:t>S recipe card 63 (oscillating reactions). Wear eye protection when performing the experiment – the diluted solutions, once prepared for use in the reaction, require no hazard warning.</w:t>
      </w:r>
    </w:p>
    <w:p w14:paraId="4E419988" w14:textId="77777777" w:rsidR="00B4584C" w:rsidRPr="00B4584C" w:rsidRDefault="00B4584C" w:rsidP="00B4584C"/>
    <w:sectPr w:rsidR="00B4584C" w:rsidRPr="00B4584C"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300">
    <w:panose1 w:val="02000000000000000000"/>
    <w:charset w:val="00"/>
    <w:family w:val="modern"/>
    <w:notTrueType/>
    <w:pitch w:val="variable"/>
    <w:sig w:usb0="A00000AF" w:usb1="4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EEB96A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647D49">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647D49">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8A70151"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B4584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B4584C">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C0B0B"/>
    <w:multiLevelType w:val="multilevel"/>
    <w:tmpl w:val="B89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F2420"/>
    <w:multiLevelType w:val="hybridMultilevel"/>
    <w:tmpl w:val="1CAA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D7441A"/>
    <w:multiLevelType w:val="multilevel"/>
    <w:tmpl w:val="D48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4"/>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85EF5"/>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1788F"/>
    <w:rsid w:val="00424F9A"/>
    <w:rsid w:val="00427B37"/>
    <w:rsid w:val="00451339"/>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80EAE"/>
    <w:rsid w:val="00596ABE"/>
    <w:rsid w:val="005A7495"/>
    <w:rsid w:val="005C02D2"/>
    <w:rsid w:val="005D668B"/>
    <w:rsid w:val="005F1C11"/>
    <w:rsid w:val="005F451D"/>
    <w:rsid w:val="00613760"/>
    <w:rsid w:val="00635F98"/>
    <w:rsid w:val="006437AB"/>
    <w:rsid w:val="00647D49"/>
    <w:rsid w:val="006525C2"/>
    <w:rsid w:val="006532A6"/>
    <w:rsid w:val="00654FDB"/>
    <w:rsid w:val="00662B91"/>
    <w:rsid w:val="0067206C"/>
    <w:rsid w:val="006758AB"/>
    <w:rsid w:val="00694F0B"/>
    <w:rsid w:val="006978DE"/>
    <w:rsid w:val="006D3E26"/>
    <w:rsid w:val="006F05C7"/>
    <w:rsid w:val="006F6F73"/>
    <w:rsid w:val="00707FDD"/>
    <w:rsid w:val="00714A35"/>
    <w:rsid w:val="00723F23"/>
    <w:rsid w:val="007358E3"/>
    <w:rsid w:val="0075451A"/>
    <w:rsid w:val="00755C7E"/>
    <w:rsid w:val="007667DD"/>
    <w:rsid w:val="007705C4"/>
    <w:rsid w:val="00784400"/>
    <w:rsid w:val="007C1813"/>
    <w:rsid w:val="007C4328"/>
    <w:rsid w:val="007D50E0"/>
    <w:rsid w:val="007E4232"/>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4584C"/>
    <w:rsid w:val="00B57B2A"/>
    <w:rsid w:val="00BA512C"/>
    <w:rsid w:val="00BB1F22"/>
    <w:rsid w:val="00C17DDC"/>
    <w:rsid w:val="00C3053B"/>
    <w:rsid w:val="00CB2AE2"/>
    <w:rsid w:val="00CD10BF"/>
    <w:rsid w:val="00CE49E2"/>
    <w:rsid w:val="00D174D9"/>
    <w:rsid w:val="00D20A6A"/>
    <w:rsid w:val="00D34A04"/>
    <w:rsid w:val="00D5111B"/>
    <w:rsid w:val="00D60214"/>
    <w:rsid w:val="00D62F8A"/>
    <w:rsid w:val="00D71A1A"/>
    <w:rsid w:val="00D90054"/>
    <w:rsid w:val="00DC64EC"/>
    <w:rsid w:val="00DD6FD3"/>
    <w:rsid w:val="00E15396"/>
    <w:rsid w:val="00E160E0"/>
    <w:rsid w:val="00E17C67"/>
    <w:rsid w:val="00E25F35"/>
    <w:rsid w:val="00E331A7"/>
    <w:rsid w:val="00E40CCC"/>
    <w:rsid w:val="00E47850"/>
    <w:rsid w:val="00E47D2B"/>
    <w:rsid w:val="00E5491A"/>
    <w:rsid w:val="00E61773"/>
    <w:rsid w:val="00E86125"/>
    <w:rsid w:val="00EA0301"/>
    <w:rsid w:val="00EA0DFF"/>
    <w:rsid w:val="00EC0B8E"/>
    <w:rsid w:val="00ED0F61"/>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picture">
    <w:name w:val="picture"/>
    <w:basedOn w:val="Normal"/>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inlinesource">
    <w:name w:val="inline_source"/>
    <w:basedOn w:val="Normal"/>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F05C7"/>
    <w:rPr>
      <w:i/>
      <w:iCs/>
    </w:rPr>
  </w:style>
  <w:style w:type="paragraph" w:customStyle="1" w:styleId="BoxbodyflushBoxes">
    <w:name w:val="Box: body (flush) (Boxes)"/>
    <w:basedOn w:val="Normal"/>
    <w:uiPriority w:val="99"/>
    <w:rsid w:val="00B4584C"/>
    <w:pPr>
      <w:keepLines w:val="0"/>
      <w:autoSpaceDE w:val="0"/>
      <w:autoSpaceDN w:val="0"/>
      <w:adjustRightInd w:val="0"/>
      <w:spacing w:after="0" w:line="200" w:lineRule="atLeast"/>
      <w:textAlignment w:val="center"/>
    </w:pPr>
    <w:rPr>
      <w:rFonts w:ascii="Museo Slab 300" w:hAnsi="Museo Slab 300" w:cs="Museo Slab 300"/>
      <w:color w:val="000000"/>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990137855">
      <w:bodyDiv w:val="1"/>
      <w:marLeft w:val="0"/>
      <w:marRight w:val="0"/>
      <w:marTop w:val="0"/>
      <w:marBottom w:val="0"/>
      <w:divBdr>
        <w:top w:val="none" w:sz="0" w:space="0" w:color="auto"/>
        <w:left w:val="none" w:sz="0" w:space="0" w:color="auto"/>
        <w:bottom w:val="none" w:sz="0" w:space="0" w:color="auto"/>
        <w:right w:val="none" w:sz="0" w:space="0" w:color="auto"/>
      </w:divBdr>
    </w:div>
    <w:div w:id="1509296594">
      <w:bodyDiv w:val="1"/>
      <w:marLeft w:val="0"/>
      <w:marRight w:val="0"/>
      <w:marTop w:val="0"/>
      <w:marBottom w:val="0"/>
      <w:divBdr>
        <w:top w:val="none" w:sz="0" w:space="0" w:color="auto"/>
        <w:left w:val="none" w:sz="0" w:space="0" w:color="auto"/>
        <w:bottom w:val="none" w:sz="0" w:space="0" w:color="auto"/>
        <w:right w:val="none" w:sz="0" w:space="0" w:color="auto"/>
      </w:divBdr>
    </w:div>
    <w:div w:id="156240524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44161670">
      <w:bodyDiv w:val="1"/>
      <w:marLeft w:val="0"/>
      <w:marRight w:val="0"/>
      <w:marTop w:val="0"/>
      <w:marBottom w:val="0"/>
      <w:divBdr>
        <w:top w:val="none" w:sz="0" w:space="0" w:color="auto"/>
        <w:left w:val="none" w:sz="0" w:space="0" w:color="auto"/>
        <w:bottom w:val="none" w:sz="0" w:space="0" w:color="auto"/>
        <w:right w:val="none" w:sz="0" w:space="0" w:color="auto"/>
      </w:divBdr>
      <w:divsChild>
        <w:div w:id="123086343">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262</Words>
  <Characters>1445</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Oscillating magic – technician notes</vt:lpstr>
    </vt:vector>
  </TitlesOfParts>
  <Company>Royal Society of Chemistry</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Oscillating magic – technician notes</dc:title>
  <dc:subject>Demonstration silver acetylide as a contact explosive</dc:subject>
  <dc:creator>Royal Society of Chemistry</dc:creator>
  <dc:description>From Exhibition Chemistry, Education in Chemistry, March 2019, rsc.li/2EujEzv</dc:description>
  <cp:lastModifiedBy>Lisa Clatworthy</cp:lastModifiedBy>
  <cp:revision>6</cp:revision>
  <dcterms:created xsi:type="dcterms:W3CDTF">2019-02-25T10:07:00Z</dcterms:created>
  <dcterms:modified xsi:type="dcterms:W3CDTF">2019-02-25T11:53:00Z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