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14D4F8B1" w:rsidR="00AC639E" w:rsidRDefault="000D44EA" w:rsidP="00AC639E">
      <w:pPr>
        <w:pStyle w:val="Heading1"/>
      </w:pPr>
      <w:r>
        <w:t>Teaching rates of reaction post-16: assessment</w:t>
      </w:r>
    </w:p>
    <w:p w14:paraId="15CE8942" w14:textId="074A1CA5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D44EA">
        <w:rPr>
          <w:rStyle w:val="LeadparagraphChar"/>
        </w:rPr>
        <w:t>September 2021</w:t>
      </w:r>
      <w:r w:rsidR="00F953CF">
        <w:rPr>
          <w:rStyle w:val="LeadparagraphChar"/>
        </w:rPr>
        <w:t xml:space="preserve"> </w:t>
      </w:r>
      <w:r>
        <w:rPr>
          <w:rStyle w:val="LeadparagraphChar"/>
        </w:rPr>
        <w:br/>
      </w:r>
      <w:hyperlink r:id="rId10" w:history="1">
        <w:r w:rsidR="008F3ED8" w:rsidRPr="008F3ED8">
          <w:rPr>
            <w:rStyle w:val="Hyperlink"/>
          </w:rPr>
          <w:t>rsc.li/3jV0WVq</w:t>
        </w:r>
      </w:hyperlink>
    </w:p>
    <w:p w14:paraId="416654EB" w14:textId="312408C0" w:rsidR="007705C4" w:rsidRDefault="000D44EA" w:rsidP="00D96D68">
      <w:pPr>
        <w:rPr>
          <w:b/>
          <w:bCs/>
        </w:rPr>
      </w:pPr>
      <w:r>
        <w:rPr>
          <w:b/>
          <w:bCs/>
        </w:rPr>
        <w:t xml:space="preserve">A more creative way to assess whether students understand a concept is for them to apply their knowledge to solve a problem or to interpret and explain something. Try these four ideas. </w:t>
      </w:r>
    </w:p>
    <w:p w14:paraId="2F455D9B" w14:textId="4383ABAF" w:rsidR="00F953CF" w:rsidRDefault="000D44EA" w:rsidP="00F953CF">
      <w:pPr>
        <w:pStyle w:val="Heading2"/>
      </w:pPr>
      <w:r>
        <w:t>Apply your knowledge of rates of reaction</w:t>
      </w:r>
    </w:p>
    <w:p w14:paraId="42C11977" w14:textId="0A28EB56" w:rsidR="00F717B8" w:rsidRPr="008F3ED8" w:rsidRDefault="000D44EA" w:rsidP="008F3ED8">
      <w:pPr>
        <w:pStyle w:val="ListParagraph"/>
        <w:numPr>
          <w:ilvl w:val="0"/>
          <w:numId w:val="23"/>
        </w:numPr>
      </w:pPr>
      <w:r w:rsidRPr="008F3ED8">
        <w:t xml:space="preserve">Watch the video of </w:t>
      </w:r>
      <w:hyperlink r:id="rId11" w:history="1">
        <w:r w:rsidRPr="008F3ED8">
          <w:rPr>
            <w:rStyle w:val="Hyperlink"/>
            <w:color w:val="auto"/>
          </w:rPr>
          <w:t>Rochelle’s salt reaction</w:t>
        </w:r>
      </w:hyperlink>
      <w:r w:rsidRPr="008F3ED8">
        <w:t xml:space="preserve">. </w:t>
      </w:r>
      <w:r w:rsidR="00C637D5" w:rsidRPr="008F3ED8">
        <w:t>What evidence suggests that the reaction is catalysed</w:t>
      </w:r>
      <w:r w:rsidRPr="008F3ED8">
        <w:t>?</w:t>
      </w:r>
      <w:r w:rsidR="00F717B8" w:rsidRPr="008F3ED8">
        <w:br/>
      </w:r>
      <w:r w:rsidR="00F717B8" w:rsidRPr="008F3ED8">
        <w:rPr>
          <w:color w:val="FF0000"/>
        </w:rPr>
        <w:t>The reaction speeds up on addition of cobalt ions and the colour of the cobalt changes from pink to green and then back to pink.</w:t>
      </w:r>
    </w:p>
    <w:p w14:paraId="7C9274E6" w14:textId="77777777" w:rsidR="00C637D5" w:rsidRPr="00C637D5" w:rsidRDefault="00C637D5" w:rsidP="008F3ED8">
      <w:pPr>
        <w:pStyle w:val="ListParagraph"/>
        <w:keepLines w:val="0"/>
        <w:numPr>
          <w:ilvl w:val="0"/>
          <w:numId w:val="23"/>
        </w:numPr>
        <w:tabs>
          <w:tab w:val="left" w:pos="1240"/>
        </w:tabs>
        <w:spacing w:after="160" w:line="259" w:lineRule="auto"/>
        <w:rPr>
          <w:sz w:val="24"/>
          <w:szCs w:val="24"/>
        </w:rPr>
      </w:pPr>
      <w:r>
        <w:t>Describe</w:t>
      </w:r>
      <w:r w:rsidRPr="000D44EA">
        <w:t xml:space="preserve"> and explain what the following diagram depicts</w:t>
      </w:r>
      <w:r w:rsidR="000D44EA" w:rsidRPr="000D44EA">
        <w:t>.</w:t>
      </w:r>
    </w:p>
    <w:p w14:paraId="12E9EF6E" w14:textId="2763D9ED" w:rsidR="00C637D5" w:rsidRDefault="00D54746" w:rsidP="00C637D5">
      <w:pPr>
        <w:keepLines w:val="0"/>
        <w:tabs>
          <w:tab w:val="left" w:pos="1240"/>
        </w:tabs>
        <w:spacing w:after="160" w:line="259" w:lineRule="auto"/>
        <w:ind w:left="360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3CAC0F59" wp14:editId="59367864">
            <wp:extent cx="6188710" cy="2102485"/>
            <wp:effectExtent l="0" t="0" r="254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6D70F" w14:textId="2D9B8434" w:rsidR="000D44EA" w:rsidRPr="00C637D5" w:rsidRDefault="00F717B8" w:rsidP="00C637D5">
      <w:pPr>
        <w:keepLines w:val="0"/>
        <w:tabs>
          <w:tab w:val="left" w:pos="1240"/>
        </w:tabs>
        <w:spacing w:after="160" w:line="259" w:lineRule="auto"/>
        <w:ind w:left="360"/>
        <w:rPr>
          <w:sz w:val="24"/>
          <w:szCs w:val="24"/>
        </w:rPr>
      </w:pPr>
      <w:r w:rsidRPr="00C637D5">
        <w:rPr>
          <w:color w:val="FF0000"/>
        </w:rPr>
        <w:t>The catalysts hold the molecule in place increasing potential interaction times and the covalent bond is weakened because electron density is used to bond the molecule onto the catalyst</w:t>
      </w:r>
      <w:r w:rsidR="00B57604">
        <w:rPr>
          <w:color w:val="FF0000"/>
        </w:rPr>
        <w:t>’</w:t>
      </w:r>
      <w:r w:rsidRPr="00C637D5">
        <w:rPr>
          <w:color w:val="FF0000"/>
        </w:rPr>
        <w:t>s surface.</w:t>
      </w:r>
    </w:p>
    <w:p w14:paraId="2FB5E565" w14:textId="77777777" w:rsidR="00C637D5" w:rsidRDefault="000D44EA" w:rsidP="008F3ED8">
      <w:pPr>
        <w:pStyle w:val="ListParagraph"/>
        <w:numPr>
          <w:ilvl w:val="0"/>
          <w:numId w:val="23"/>
        </w:numPr>
      </w:pPr>
      <w:r w:rsidRPr="000D44EA">
        <w:t>The following equations can be presented to students. Ask them to identify what represents the catalysts and what represents a transitional or intermediate state. What are the products? Can students write the overall equation for the reaction?</w:t>
      </w:r>
    </w:p>
    <w:p w14:paraId="199EDE77" w14:textId="7EC93526" w:rsidR="00C637D5" w:rsidRDefault="00C637D5" w:rsidP="00C637D5">
      <w:pPr>
        <w:ind w:left="360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0808DC4F" wp14:editId="56F86C95">
            <wp:extent cx="2511366" cy="1024561"/>
            <wp:effectExtent l="0" t="0" r="3810" b="4445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4836" cy="103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6DA1" w14:textId="72434444" w:rsidR="000D44EA" w:rsidRPr="000D44EA" w:rsidRDefault="00F717B8" w:rsidP="00C637D5">
      <w:pPr>
        <w:ind w:left="360"/>
      </w:pPr>
      <w:r w:rsidRPr="00C637D5">
        <w:rPr>
          <w:color w:val="FF0000"/>
        </w:rPr>
        <w:t>B = catalyst and D = intermediate/transitional species</w:t>
      </w:r>
    </w:p>
    <w:p w14:paraId="05630D19" w14:textId="77777777" w:rsidR="00C637D5" w:rsidRDefault="00C637D5">
      <w:pPr>
        <w:keepLines w:val="0"/>
        <w:spacing w:before="200" w:after="0"/>
        <w:rPr>
          <w:highlight w:val="lightGray"/>
        </w:rPr>
      </w:pPr>
      <w:r>
        <w:rPr>
          <w:highlight w:val="lightGray"/>
        </w:rPr>
        <w:br w:type="page"/>
      </w:r>
    </w:p>
    <w:p w14:paraId="649EF4A4" w14:textId="1C5509BB" w:rsidR="00C637D5" w:rsidRDefault="000D44EA" w:rsidP="008F3ED8">
      <w:pPr>
        <w:pStyle w:val="ListParagraph"/>
        <w:numPr>
          <w:ilvl w:val="0"/>
          <w:numId w:val="23"/>
        </w:numPr>
      </w:pPr>
      <w:r w:rsidRPr="000D44EA">
        <w:lastRenderedPageBreak/>
        <w:t>Now challenge students with this reaction equation. Can they identify the intermediate and catalyst species? Can they explain their choices?</w:t>
      </w:r>
    </w:p>
    <w:p w14:paraId="398E645E" w14:textId="04DEA6F9" w:rsidR="00C637D5" w:rsidRDefault="00C637D5" w:rsidP="00C637D5">
      <w:pPr>
        <w:ind w:left="360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6CB85574" wp14:editId="76B3296A">
            <wp:extent cx="3218353" cy="910107"/>
            <wp:effectExtent l="0" t="0" r="1270" b="4445"/>
            <wp:docPr id="240" name="Picture 240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 descr="A picture containing text, antenna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2516" cy="9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9246" w14:textId="422B8BD8" w:rsidR="00F953CF" w:rsidRPr="00F953CF" w:rsidRDefault="00F717B8" w:rsidP="00C637D5">
      <w:pPr>
        <w:ind w:left="360"/>
      </w:pPr>
      <w:r w:rsidRPr="00C637D5">
        <w:rPr>
          <w:color w:val="FF0000"/>
        </w:rPr>
        <w:t>I</w:t>
      </w:r>
      <w:r w:rsidRPr="00B57604">
        <w:rPr>
          <w:color w:val="FF0000"/>
          <w:vertAlign w:val="superscript"/>
        </w:rPr>
        <w:t>-</w:t>
      </w:r>
      <w:r w:rsidRPr="00C637D5">
        <w:rPr>
          <w:color w:val="FF0000"/>
        </w:rPr>
        <w:t xml:space="preserve"> = catalyst and IO</w:t>
      </w:r>
      <w:r w:rsidRPr="00B57604">
        <w:rPr>
          <w:color w:val="FF0000"/>
          <w:vertAlign w:val="superscript"/>
        </w:rPr>
        <w:t>-</w:t>
      </w:r>
      <w:r w:rsidRPr="00C637D5">
        <w:rPr>
          <w:color w:val="FF0000"/>
        </w:rPr>
        <w:t xml:space="preserve"> is the transitional species</w:t>
      </w:r>
    </w:p>
    <w:sectPr w:rsidR="00F953CF" w:rsidRPr="00F953CF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4041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9CB3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22ED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88E1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4AF1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EC8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0A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0EF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0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ACF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5ED0"/>
    <w:multiLevelType w:val="hybridMultilevel"/>
    <w:tmpl w:val="305C8974"/>
    <w:lvl w:ilvl="0" w:tplc="A74E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66510"/>
    <w:multiLevelType w:val="hybridMultilevel"/>
    <w:tmpl w:val="54CEC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C5496"/>
    <w:multiLevelType w:val="hybridMultilevel"/>
    <w:tmpl w:val="DCCE5110"/>
    <w:lvl w:ilvl="0" w:tplc="EF1CA5A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5075D5"/>
    <w:multiLevelType w:val="hybridMultilevel"/>
    <w:tmpl w:val="7CD0A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2"/>
  </w:num>
  <w:num w:numId="5">
    <w:abstractNumId w:val="20"/>
    <w:lvlOverride w:ilvl="0">
      <w:startOverride w:val="2"/>
    </w:lvlOverride>
  </w:num>
  <w:num w:numId="6">
    <w:abstractNumId w:val="19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1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0D44EA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3ED8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604"/>
    <w:rsid w:val="00B57B2A"/>
    <w:rsid w:val="00BA512C"/>
    <w:rsid w:val="00BB1F22"/>
    <w:rsid w:val="00BE6499"/>
    <w:rsid w:val="00C17DDC"/>
    <w:rsid w:val="00C3053B"/>
    <w:rsid w:val="00C637D5"/>
    <w:rsid w:val="00CD10BF"/>
    <w:rsid w:val="00D02F63"/>
    <w:rsid w:val="00D174D9"/>
    <w:rsid w:val="00D20A6A"/>
    <w:rsid w:val="00D34A04"/>
    <w:rsid w:val="00D5111B"/>
    <w:rsid w:val="00D54746"/>
    <w:rsid w:val="00D60214"/>
    <w:rsid w:val="00D62F8A"/>
    <w:rsid w:val="00D71A1A"/>
    <w:rsid w:val="00D90054"/>
    <w:rsid w:val="00D96D68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17B8"/>
    <w:rsid w:val="00F76CF5"/>
    <w:rsid w:val="00F91DF0"/>
    <w:rsid w:val="00F953CF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44EA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F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eCQI0hNgaq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rsc.li/3jV0WVq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7d643f5-4560-4eff-9f48-d0fe6b2bec2d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answer sheet</dc:title>
  <dc:subject>Rates of reaction post-16</dc:subject>
  <dc:creator>Royal Society of Chemistry</dc:creator>
  <cp:keywords>catalysts; rates of reaction; Arrenhuis; activation energy</cp:keywords>
  <dc:description>From Teaching rates of reaction post-16: part 2, Education in Chemistry, rsc.li/3jV0WVq</dc:description>
  <cp:lastModifiedBy>Georgia Murphy</cp:lastModifiedBy>
  <cp:revision>7</cp:revision>
  <dcterms:created xsi:type="dcterms:W3CDTF">2021-08-17T10:37:00Z</dcterms:created>
  <dcterms:modified xsi:type="dcterms:W3CDTF">2021-08-18T11:20:00Z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