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7BCC3EF2" w:rsidR="00AC639E" w:rsidRDefault="00A0530B" w:rsidP="00AC639E">
      <w:pPr>
        <w:pStyle w:val="Heading1"/>
      </w:pPr>
      <w:r>
        <w:t>Finding the best solvent for recrystallisation</w:t>
      </w:r>
      <w:r w:rsidR="00F15A97">
        <w:t xml:space="preserve"> – teacher notes</w:t>
      </w:r>
    </w:p>
    <w:p w14:paraId="15CE8942" w14:textId="3B45A28B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0530B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0" w:history="1">
        <w:r w:rsidR="00AD3BE3" w:rsidRPr="00AD3BE3">
          <w:rPr>
            <w:rStyle w:val="Hyperlink"/>
            <w:rFonts w:ascii="Roboto" w:hAnsi="Roboto"/>
            <w:spacing w:val="2"/>
            <w:sz w:val="21"/>
            <w:szCs w:val="21"/>
            <w:shd w:val="clear" w:color="auto" w:fill="FAFAFA"/>
          </w:rPr>
          <w:t>rsc.li/3laNzRG</w:t>
        </w:r>
      </w:hyperlink>
    </w:p>
    <w:p w14:paraId="416654EB" w14:textId="0C344985" w:rsidR="007705C4" w:rsidRDefault="00F15A97" w:rsidP="00D96D68">
      <w:pPr>
        <w:rPr>
          <w:b/>
          <w:bCs/>
        </w:rPr>
      </w:pPr>
      <w:r w:rsidRPr="00F15A97">
        <w:rPr>
          <w:b/>
          <w:bCs/>
        </w:rPr>
        <w:t>This</w:t>
      </w:r>
      <w:r w:rsidR="006530A6">
        <w:rPr>
          <w:b/>
          <w:bCs/>
        </w:rPr>
        <w:t xml:space="preserve"> open-ended</w:t>
      </w:r>
      <w:r w:rsidRPr="00F15A97">
        <w:rPr>
          <w:b/>
          <w:bCs/>
        </w:rPr>
        <w:t xml:space="preserve"> activity </w:t>
      </w:r>
      <w:r w:rsidR="006530A6">
        <w:rPr>
          <w:b/>
          <w:bCs/>
        </w:rPr>
        <w:t>focuses on</w:t>
      </w:r>
      <w:r w:rsidRPr="00F15A97">
        <w:rPr>
          <w:b/>
          <w:bCs/>
        </w:rPr>
        <w:t xml:space="preserve"> choosing a suitable solvent for the recrystallisation of acetylsalicylic acid, developing </w:t>
      </w:r>
      <w:r w:rsidR="006530A6">
        <w:rPr>
          <w:b/>
          <w:bCs/>
        </w:rPr>
        <w:t>student</w:t>
      </w:r>
      <w:r w:rsidRPr="00F15A97">
        <w:rPr>
          <w:b/>
          <w:bCs/>
        </w:rPr>
        <w:t xml:space="preserve"> independence. It is ideal for preparing your post-16 students for their further studies, or as an adjunct to your lessons on recrystallisation</w:t>
      </w:r>
      <w:r w:rsidR="006530A6">
        <w:rPr>
          <w:b/>
          <w:bCs/>
        </w:rPr>
        <w:t>.</w:t>
      </w:r>
    </w:p>
    <w:p w14:paraId="69FE5188" w14:textId="77777777" w:rsidR="005F49EA" w:rsidRDefault="005F49EA" w:rsidP="00F15A97">
      <w:pPr>
        <w:pStyle w:val="Heading2"/>
      </w:pPr>
      <w:r>
        <w:t>The task</w:t>
      </w:r>
    </w:p>
    <w:p w14:paraId="5C8AC1B8" w14:textId="77777777" w:rsidR="005F49EA" w:rsidRDefault="005F49EA" w:rsidP="005F49EA">
      <w:r>
        <w:t>Students are provided with some key information about recrystallisation and a sample of crude acetylsalicylic acid. They should carry out a series of experiments to determine the best solvent or solvent mixture for recrystallisation. They should do this on a small scale using test tubes before carrying out the final recrystallisation on a larger sample, and take notes about the relative solubility at different temperatures as they go along.</w:t>
      </w:r>
    </w:p>
    <w:p w14:paraId="52369E96" w14:textId="77777777" w:rsidR="005F49EA" w:rsidRDefault="005F49EA" w:rsidP="00F15A97">
      <w:pPr>
        <w:pStyle w:val="Heading2"/>
      </w:pPr>
      <w:r>
        <w:t>Kit</w:t>
      </w:r>
    </w:p>
    <w:p w14:paraId="1B9299F6" w14:textId="77777777" w:rsidR="00F15A97" w:rsidRDefault="005F49EA" w:rsidP="00F15A97">
      <w:r>
        <w:t>Students will need access to</w:t>
      </w:r>
      <w:r w:rsidR="00F15A97">
        <w:t xml:space="preserve"> samples of the following</w:t>
      </w:r>
      <w:r>
        <w:t>:</w:t>
      </w:r>
    </w:p>
    <w:p w14:paraId="799B41C5" w14:textId="784F30DE" w:rsidR="005F49EA" w:rsidRDefault="005F49EA" w:rsidP="00F15A97">
      <w:pPr>
        <w:pStyle w:val="ListParagraph"/>
        <w:numPr>
          <w:ilvl w:val="0"/>
          <w:numId w:val="12"/>
        </w:numPr>
      </w:pPr>
      <w:r>
        <w:t>acetylsalicylic acid</w:t>
      </w:r>
      <w:r w:rsidR="006530A6">
        <w:t>, solid</w:t>
      </w:r>
    </w:p>
    <w:p w14:paraId="54370C97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water</w:t>
      </w:r>
    </w:p>
    <w:p w14:paraId="5EEAD798" w14:textId="0A493A2A" w:rsidR="005F49EA" w:rsidRDefault="005F49EA" w:rsidP="00F15A97">
      <w:pPr>
        <w:pStyle w:val="ListParagraph"/>
        <w:numPr>
          <w:ilvl w:val="0"/>
          <w:numId w:val="12"/>
        </w:numPr>
      </w:pPr>
      <w:r>
        <w:t>ethyl</w:t>
      </w:r>
      <w:r w:rsidR="00AA7120">
        <w:t xml:space="preserve"> </w:t>
      </w:r>
      <w:r>
        <w:t>acetate</w:t>
      </w:r>
    </w:p>
    <w:p w14:paraId="725DBAC8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acetone</w:t>
      </w:r>
    </w:p>
    <w:p w14:paraId="10D37F53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ethanol</w:t>
      </w:r>
    </w:p>
    <w:p w14:paraId="1CC83F96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methanol</w:t>
      </w:r>
    </w:p>
    <w:p w14:paraId="493C2C51" w14:textId="03DDC693" w:rsidR="005F49EA" w:rsidRDefault="005F49EA" w:rsidP="00F15A97">
      <w:pPr>
        <w:pStyle w:val="ListParagraph"/>
        <w:numPr>
          <w:ilvl w:val="0"/>
          <w:numId w:val="12"/>
        </w:numPr>
      </w:pPr>
      <w:r>
        <w:t>cyclohexane</w:t>
      </w:r>
    </w:p>
    <w:p w14:paraId="6E17A295" w14:textId="77777777" w:rsidR="00F15A97" w:rsidRDefault="00F15A97" w:rsidP="00F15A97">
      <w:pPr>
        <w:pStyle w:val="ListParagraph"/>
      </w:pPr>
    </w:p>
    <w:p w14:paraId="249378E2" w14:textId="0CB413AD" w:rsidR="00F15A97" w:rsidRDefault="00F15A97" w:rsidP="00F15A97">
      <w:pPr>
        <w:pStyle w:val="ListParagraph"/>
        <w:ind w:left="0"/>
      </w:pPr>
      <w:r>
        <w:t>They will also need access to:</w:t>
      </w:r>
    </w:p>
    <w:p w14:paraId="7363946F" w14:textId="77777777" w:rsidR="00F15A97" w:rsidRDefault="00F15A97" w:rsidP="00F15A97">
      <w:pPr>
        <w:pStyle w:val="ListParagraph"/>
        <w:ind w:left="0"/>
      </w:pPr>
    </w:p>
    <w:p w14:paraId="247CFC90" w14:textId="61F176FB" w:rsidR="005F49EA" w:rsidRDefault="005F49EA" w:rsidP="00F15A97">
      <w:pPr>
        <w:pStyle w:val="ListParagraph"/>
        <w:numPr>
          <w:ilvl w:val="0"/>
          <w:numId w:val="12"/>
        </w:numPr>
      </w:pPr>
      <w:r>
        <w:t>kettle</w:t>
      </w:r>
    </w:p>
    <w:p w14:paraId="69F1F1AF" w14:textId="076E6B94" w:rsidR="005F49EA" w:rsidRDefault="005F49EA" w:rsidP="00F15A97">
      <w:pPr>
        <w:pStyle w:val="ListParagraph"/>
        <w:numPr>
          <w:ilvl w:val="0"/>
          <w:numId w:val="12"/>
        </w:numPr>
      </w:pPr>
      <w:r>
        <w:t>beaker</w:t>
      </w:r>
      <w:r w:rsidR="00F15A97">
        <w:t>s</w:t>
      </w:r>
    </w:p>
    <w:p w14:paraId="01D1AA75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test tubes</w:t>
      </w:r>
    </w:p>
    <w:p w14:paraId="638502D9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jewellery balance</w:t>
      </w:r>
    </w:p>
    <w:p w14:paraId="00CB2F75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filter paper</w:t>
      </w:r>
    </w:p>
    <w:p w14:paraId="0DE83FD9" w14:textId="77777777" w:rsidR="005F49EA" w:rsidRDefault="005F49EA" w:rsidP="00F15A97">
      <w:pPr>
        <w:pStyle w:val="ListParagraph"/>
        <w:numPr>
          <w:ilvl w:val="0"/>
          <w:numId w:val="12"/>
        </w:numPr>
      </w:pPr>
      <w:r>
        <w:t>filter funnel</w:t>
      </w:r>
    </w:p>
    <w:p w14:paraId="3764B4AB" w14:textId="16D63FCB" w:rsidR="00A34A9A" w:rsidRDefault="005F49EA" w:rsidP="005F49EA">
      <w:pPr>
        <w:pStyle w:val="ListParagraph"/>
        <w:numPr>
          <w:ilvl w:val="0"/>
          <w:numId w:val="12"/>
        </w:numPr>
      </w:pPr>
      <w:r>
        <w:t>conical flask</w:t>
      </w:r>
    </w:p>
    <w:p w14:paraId="345A0C57" w14:textId="7A1A3531" w:rsidR="00AA7120" w:rsidRDefault="00AA7120" w:rsidP="00AA7120">
      <w:pPr>
        <w:pStyle w:val="Heading2"/>
      </w:pPr>
      <w:r>
        <w:t>Health and safety</w:t>
      </w:r>
    </w:p>
    <w:p w14:paraId="5A779C99" w14:textId="5A715CBE" w:rsidR="00AA7120" w:rsidRDefault="006530A6" w:rsidP="00AD3BE3">
      <w:pPr>
        <w:pStyle w:val="ListParagraph"/>
        <w:numPr>
          <w:ilvl w:val="0"/>
          <w:numId w:val="13"/>
        </w:numPr>
      </w:pPr>
      <w:r>
        <w:t xml:space="preserve">Wear safety goggles. </w:t>
      </w:r>
    </w:p>
    <w:p w14:paraId="0626A894" w14:textId="141DDA8F" w:rsidR="006530A6" w:rsidRDefault="006530A6" w:rsidP="00AD3BE3">
      <w:pPr>
        <w:pStyle w:val="ListParagraph"/>
        <w:numPr>
          <w:ilvl w:val="0"/>
          <w:numId w:val="13"/>
        </w:numPr>
      </w:pPr>
      <w:r>
        <w:t>All organic solvents are flammable so no naked flames nearby.</w:t>
      </w:r>
    </w:p>
    <w:p w14:paraId="1785FBFC" w14:textId="113F8A4F" w:rsidR="00AA7120" w:rsidRDefault="00AA7120" w:rsidP="00AA7120">
      <w:pPr>
        <w:pStyle w:val="Heading2"/>
      </w:pPr>
      <w:r>
        <w:t>Disposal</w:t>
      </w:r>
    </w:p>
    <w:p w14:paraId="2F416F0D" w14:textId="77777777" w:rsidR="006530A6" w:rsidRDefault="006530A6" w:rsidP="00AD3BE3">
      <w:pPr>
        <w:pStyle w:val="ListParagraph"/>
        <w:numPr>
          <w:ilvl w:val="0"/>
          <w:numId w:val="14"/>
        </w:numPr>
      </w:pPr>
      <w:r>
        <w:t>Dispose of according to local guidelines.</w:t>
      </w:r>
    </w:p>
    <w:p w14:paraId="4DA9A5F5" w14:textId="3800D562" w:rsidR="00AA7120" w:rsidRDefault="006530A6" w:rsidP="00AD3BE3">
      <w:pPr>
        <w:pStyle w:val="ListParagraph"/>
        <w:numPr>
          <w:ilvl w:val="0"/>
          <w:numId w:val="14"/>
        </w:numPr>
      </w:pPr>
      <w:r>
        <w:t>Use suitable waste containers</w:t>
      </w:r>
      <w:r w:rsidR="00AD3BE3">
        <w:t xml:space="preserve">. Do not pour </w:t>
      </w:r>
      <w:r>
        <w:t xml:space="preserve">down the sink. </w:t>
      </w:r>
    </w:p>
    <w:p w14:paraId="0C815219" w14:textId="2F20D1C8" w:rsidR="00F15A97" w:rsidRDefault="00AA7120" w:rsidP="00F15A97">
      <w:pPr>
        <w:pStyle w:val="Heading2"/>
      </w:pPr>
      <w:r>
        <w:t>Answer/expected results</w:t>
      </w:r>
    </w:p>
    <w:p w14:paraId="6B70BD93" w14:textId="6F3E1173" w:rsidR="00F15A97" w:rsidRPr="00A34A9A" w:rsidRDefault="00924C93" w:rsidP="00F15A97">
      <w:r>
        <w:t xml:space="preserve">Students should find </w:t>
      </w:r>
      <w:r w:rsidR="006530A6">
        <w:t>the ethanol is the best solvent</w:t>
      </w:r>
      <w:r w:rsidR="00AD3BE3">
        <w:t>, as this conclusion can be reached in one lesson</w:t>
      </w:r>
      <w:r w:rsidR="006530A6">
        <w:t>. However, it’s best to prompt students to what is the criteria for best;</w:t>
      </w:r>
      <w:r w:rsidR="00AD3BE3">
        <w:t xml:space="preserve"> for example, the</w:t>
      </w:r>
      <w:r w:rsidR="006530A6">
        <w:t xml:space="preserve"> size of crystals. </w:t>
      </w:r>
    </w:p>
    <w:sectPr w:rsidR="00F15A97" w:rsidRPr="00A34A9A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092"/>
    <w:multiLevelType w:val="hybridMultilevel"/>
    <w:tmpl w:val="340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EB4"/>
    <w:multiLevelType w:val="hybridMultilevel"/>
    <w:tmpl w:val="3772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2AA0"/>
    <w:multiLevelType w:val="hybridMultilevel"/>
    <w:tmpl w:val="0890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9194C"/>
    <w:multiLevelType w:val="hybridMultilevel"/>
    <w:tmpl w:val="3F32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F31E2"/>
    <w:multiLevelType w:val="hybridMultilevel"/>
    <w:tmpl w:val="C450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66733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017EF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5F49EA"/>
    <w:rsid w:val="00600551"/>
    <w:rsid w:val="00613760"/>
    <w:rsid w:val="00635F98"/>
    <w:rsid w:val="006437AB"/>
    <w:rsid w:val="006525C2"/>
    <w:rsid w:val="006530A6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4C9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0530B"/>
    <w:rsid w:val="00A34A9A"/>
    <w:rsid w:val="00A42400"/>
    <w:rsid w:val="00A50EEB"/>
    <w:rsid w:val="00A52886"/>
    <w:rsid w:val="00A75F4C"/>
    <w:rsid w:val="00A9584B"/>
    <w:rsid w:val="00AA7120"/>
    <w:rsid w:val="00AB1738"/>
    <w:rsid w:val="00AC639E"/>
    <w:rsid w:val="00AD3BE3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70001"/>
    <w:rsid w:val="00CD10BF"/>
    <w:rsid w:val="00D174D9"/>
    <w:rsid w:val="00D2058A"/>
    <w:rsid w:val="00D20A6A"/>
    <w:rsid w:val="00D34A04"/>
    <w:rsid w:val="00D5111B"/>
    <w:rsid w:val="00D60214"/>
    <w:rsid w:val="00D62F8A"/>
    <w:rsid w:val="00D71A1A"/>
    <w:rsid w:val="00D90054"/>
    <w:rsid w:val="00D96D68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12BA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5A97"/>
    <w:rsid w:val="00F32AE0"/>
    <w:rsid w:val="00F33F60"/>
    <w:rsid w:val="00F47056"/>
    <w:rsid w:val="00F60031"/>
    <w:rsid w:val="00F76CF5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4A9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A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laNz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27d643f5-4560-4eff-9f48-d0fe6b2bec2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Recyrstallisation transition task</dc:title>
  <dc:subject>recrystallisation; aspiring'; acetylsalcyclic acid</dc:subject>
  <dc:creator>Royal Society of Chemistry</dc:creator>
  <cp:keywords>recyrstallisation; aspirin; acetylsalicyclic acid</cp:keywords>
  <dc:description>From Smooth the transition, Education in Chemistry, rsc.li/3laNzRG</dc:description>
  <cp:lastModifiedBy>Lisa Clatworthy</cp:lastModifiedBy>
  <cp:revision>3</cp:revision>
  <dcterms:created xsi:type="dcterms:W3CDTF">2021-09-09T16:00:00Z</dcterms:created>
  <dcterms:modified xsi:type="dcterms:W3CDTF">2021-09-09T16:06:00Z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