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7347" w14:textId="1A1E3E45" w:rsidR="00A5740C" w:rsidRDefault="00C331BD" w:rsidP="007859BF">
      <w:pPr>
        <w:pStyle w:val="RSCH1"/>
      </w:pPr>
      <w:r w:rsidRPr="00C331BD">
        <w:t>Shocking revelations</w:t>
      </w:r>
      <w:r w:rsidR="00EA6CA4">
        <w:t xml:space="preserve"> 2</w:t>
      </w:r>
      <w:r w:rsidRPr="00C331BD">
        <w:t xml:space="preserve">: </w:t>
      </w:r>
      <w:r w:rsidR="00EA6CA4">
        <w:t>neutralisation reactions</w:t>
      </w:r>
    </w:p>
    <w:p w14:paraId="6A7EACE6" w14:textId="77777777" w:rsidR="00EA6CA4" w:rsidRPr="00EA6CA4" w:rsidRDefault="00EA6CA4" w:rsidP="00EA6CA4">
      <w:pPr>
        <w:rPr>
          <w:rFonts w:ascii="Century Gothic" w:hAnsi="Century Gothic"/>
          <w:sz w:val="22"/>
          <w:szCs w:val="22"/>
          <w:lang w:eastAsia="en-GB"/>
        </w:rPr>
      </w:pPr>
      <w:r w:rsidRPr="00EA6CA4">
        <w:rPr>
          <w:rFonts w:ascii="Century Gothic" w:hAnsi="Century Gothic"/>
          <w:sz w:val="22"/>
          <w:szCs w:val="22"/>
          <w:lang w:eastAsia="en-GB"/>
        </w:rPr>
        <w:t>Use this conductometric titration experiment to demonstrate the different behaviours of weak and strong acids</w:t>
      </w:r>
    </w:p>
    <w:p w14:paraId="791953DF" w14:textId="1131C2F6" w:rsidR="00A5740C" w:rsidRPr="000B0FE6" w:rsidRDefault="00706B4A" w:rsidP="000B0FE6">
      <w:pPr>
        <w:pStyle w:val="RSCH2"/>
        <w:rPr>
          <w:lang w:eastAsia="en-GB"/>
        </w:rPr>
      </w:pPr>
      <w:r w:rsidRPr="00C331BD">
        <w:rPr>
          <w:b w:val="0"/>
          <w:noProof/>
          <w:lang w:eastAsia="en-US"/>
        </w:rPr>
        <mc:AlternateContent>
          <mc:Choice Requires="wps">
            <w:drawing>
              <wp:anchor distT="45720" distB="45720" distL="114300" distR="114300" simplePos="0" relativeHeight="251659264" behindDoc="0" locked="0" layoutInCell="1" allowOverlap="1" wp14:anchorId="18C5256D" wp14:editId="30B735B6">
                <wp:simplePos x="0" y="0"/>
                <wp:positionH relativeFrom="page">
                  <wp:posOffset>4974336</wp:posOffset>
                </wp:positionH>
                <wp:positionV relativeFrom="page">
                  <wp:posOffset>2209190</wp:posOffset>
                </wp:positionV>
                <wp:extent cx="2370099" cy="2472538"/>
                <wp:effectExtent l="0" t="0" r="1143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099" cy="2472538"/>
                        </a:xfrm>
                        <a:prstGeom prst="rect">
                          <a:avLst/>
                        </a:prstGeom>
                        <a:solidFill>
                          <a:srgbClr val="FFFFFF"/>
                        </a:solidFill>
                        <a:ln w="9525">
                          <a:solidFill>
                            <a:srgbClr val="C00000"/>
                          </a:solidFill>
                          <a:miter lim="800000"/>
                          <a:headEnd/>
                          <a:tailEnd/>
                        </a:ln>
                      </wps:spPr>
                      <wps:txbx>
                        <w:txbxContent>
                          <w:p w14:paraId="417D087A" w14:textId="0EDBFC02" w:rsidR="0036415C" w:rsidRPr="0036415C" w:rsidRDefault="00706B4A" w:rsidP="0036415C">
                            <w:pPr>
                              <w:pStyle w:val="RSCH1"/>
                              <w:rPr>
                                <w:sz w:val="28"/>
                                <w:szCs w:val="28"/>
                              </w:rPr>
                            </w:pPr>
                            <w:r>
                              <w:rPr>
                                <w:sz w:val="28"/>
                                <w:szCs w:val="28"/>
                              </w:rPr>
                              <w:t>Probes</w:t>
                            </w:r>
                          </w:p>
                          <w:p w14:paraId="0EF4BED8" w14:textId="4C8A1CD0" w:rsidR="00C331BD" w:rsidRDefault="00706B4A" w:rsidP="00706B4A">
                            <w:pPr>
                              <w:pStyle w:val="RSCBasictext"/>
                            </w:pPr>
                            <w:r>
                              <w:t xml:space="preserve">For information on conductivity probes, see the previous Exhibition chemistry. If you have a </w:t>
                            </w:r>
                            <w:r w:rsidRPr="00706B4A">
                              <w:t xml:space="preserve">have a ±1 </w:t>
                            </w:r>
                            <w:proofErr w:type="spellStart"/>
                            <w:r w:rsidRPr="00706B4A">
                              <w:t>μS</w:t>
                            </w:r>
                            <w:proofErr w:type="spellEnd"/>
                            <w:r w:rsidRPr="00706B4A">
                              <w:t>/cm resolution probe, then consider further diluting acid and base by a factor of 10 to benefit from cleaner conductivity curves and still further reduced hazards</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C5256D" id="_x0000_t202" coordsize="21600,21600" o:spt="202" path="m,l,21600r21600,l21600,xe">
                <v:stroke joinstyle="miter"/>
                <v:path gradientshapeok="t" o:connecttype="rect"/>
              </v:shapetype>
              <v:shape id="Text Box 2" o:spid="_x0000_s1026" type="#_x0000_t202" style="position:absolute;margin-left:391.7pt;margin-top:173.95pt;width:186.6pt;height:194.7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" strokecolor="#c00000">
                <v:textbox>
                  <w:txbxContent>
                    <w:p w14:paraId="417D087A" w14:textId="0EDBFC02" w:rsidR="0036415C" w:rsidRPr="0036415C" w:rsidRDefault="00706B4A" w:rsidP="0036415C">
                      <w:pPr>
                        <w:pStyle w:val="RSCH1"/>
                        <w:rPr>
                          <w:sz w:val="28"/>
                          <w:szCs w:val="28"/>
                        </w:rPr>
                      </w:pPr>
                      <w:r>
                        <w:rPr>
                          <w:sz w:val="28"/>
                          <w:szCs w:val="28"/>
                        </w:rPr>
                        <w:t>Probes</w:t>
                      </w:r>
                    </w:p>
                    <w:p w14:paraId="0EF4BED8" w14:textId="4C8A1CD0" w:rsidR="00C331BD" w:rsidRDefault="00706B4A" w:rsidP="00706B4A">
                      <w:pPr>
                        <w:pStyle w:val="RSCBasictext"/>
                      </w:pPr>
                      <w:r>
                        <w:t xml:space="preserve">For information on conductivity probes, see the previous Exhibition chemistry. If you have a </w:t>
                      </w:r>
                      <w:r w:rsidRPr="00706B4A">
                        <w:t>have a ±1 μS/cm resolution probe, then consider further diluting acid and base by a factor of 10 to benefit from cleaner conductivity curves and still further reduced hazards</w:t>
                      </w:r>
                      <w:r>
                        <w:t>.</w:t>
                      </w:r>
                    </w:p>
                  </w:txbxContent>
                </v:textbox>
                <w10:wrap type="square" anchorx="page" anchory="page"/>
              </v:shape>
            </w:pict>
          </mc:Fallback>
        </mc:AlternateContent>
      </w:r>
      <w:r w:rsidR="00C331BD">
        <w:rPr>
          <w:lang w:eastAsia="en-GB"/>
        </w:rPr>
        <w:t>Kit</w:t>
      </w:r>
    </w:p>
    <w:p w14:paraId="19B56EF7" w14:textId="2F5F5BFA" w:rsidR="00706B4A" w:rsidRPr="00B96344" w:rsidRDefault="00706B4A" w:rsidP="00706B4A">
      <w:pPr>
        <w:pStyle w:val="RSCBulletedlist"/>
        <w:rPr>
          <w:lang w:eastAsia="en-GB"/>
        </w:rPr>
      </w:pPr>
      <w:r w:rsidRPr="00B96344">
        <w:rPr>
          <w:lang w:eastAsia="en-GB"/>
        </w:rPr>
        <w:t>25 cm</w:t>
      </w:r>
      <w:r w:rsidRPr="00B96344">
        <w:rPr>
          <w:vertAlign w:val="superscript"/>
          <w:lang w:eastAsia="en-GB"/>
        </w:rPr>
        <w:t>3</w:t>
      </w:r>
      <w:r w:rsidR="009F5A27">
        <w:rPr>
          <w:lang w:eastAsia="en-GB"/>
        </w:rPr>
        <w:t xml:space="preserve"> </w:t>
      </w:r>
      <w:r w:rsidRPr="00B96344">
        <w:rPr>
          <w:lang w:eastAsia="en-GB"/>
        </w:rPr>
        <w:t>of 0.1 mol dm</w:t>
      </w:r>
      <w:r w:rsidRPr="00B96344">
        <w:rPr>
          <w:vertAlign w:val="superscript"/>
          <w:lang w:eastAsia="en-GB"/>
        </w:rPr>
        <w:t>-3</w:t>
      </w:r>
      <w:r w:rsidR="009F5A27">
        <w:rPr>
          <w:lang w:eastAsia="en-GB"/>
        </w:rPr>
        <w:t xml:space="preserve"> </w:t>
      </w:r>
      <w:r w:rsidRPr="00B96344">
        <w:rPr>
          <w:lang w:eastAsia="en-GB"/>
        </w:rPr>
        <w:t>hydrochloric acid</w:t>
      </w:r>
    </w:p>
    <w:p w14:paraId="606EBAD7" w14:textId="64B6D904" w:rsidR="00706B4A" w:rsidRPr="00B96344" w:rsidRDefault="00706B4A" w:rsidP="00706B4A">
      <w:pPr>
        <w:pStyle w:val="RSCBulletedlist"/>
        <w:rPr>
          <w:lang w:eastAsia="en-GB"/>
        </w:rPr>
      </w:pPr>
      <w:r w:rsidRPr="00B96344">
        <w:rPr>
          <w:lang w:eastAsia="en-GB"/>
        </w:rPr>
        <w:t>25 cm</w:t>
      </w:r>
      <w:r w:rsidRPr="00B96344">
        <w:rPr>
          <w:vertAlign w:val="superscript"/>
          <w:lang w:eastAsia="en-GB"/>
        </w:rPr>
        <w:t>3</w:t>
      </w:r>
      <w:r w:rsidR="009F5A27">
        <w:rPr>
          <w:lang w:eastAsia="en-GB"/>
        </w:rPr>
        <w:t xml:space="preserve"> </w:t>
      </w:r>
      <w:r w:rsidRPr="00B96344">
        <w:rPr>
          <w:lang w:eastAsia="en-GB"/>
        </w:rPr>
        <w:t>of 0.1 mol dm</w:t>
      </w:r>
      <w:r w:rsidRPr="00B96344">
        <w:rPr>
          <w:vertAlign w:val="superscript"/>
          <w:lang w:eastAsia="en-GB"/>
        </w:rPr>
        <w:t>-3</w:t>
      </w:r>
      <w:r w:rsidR="009F5A27">
        <w:rPr>
          <w:lang w:eastAsia="en-GB"/>
        </w:rPr>
        <w:t xml:space="preserve"> </w:t>
      </w:r>
      <w:r w:rsidRPr="00B96344">
        <w:rPr>
          <w:lang w:eastAsia="en-GB"/>
        </w:rPr>
        <w:t>ethanoic acid</w:t>
      </w:r>
    </w:p>
    <w:p w14:paraId="1302C464" w14:textId="57EEF3BD" w:rsidR="00706B4A" w:rsidRPr="00B96344" w:rsidRDefault="00706B4A" w:rsidP="00706B4A">
      <w:pPr>
        <w:pStyle w:val="RSCBulletedlist"/>
        <w:rPr>
          <w:lang w:eastAsia="en-GB"/>
        </w:rPr>
      </w:pPr>
      <w:r w:rsidRPr="00B96344">
        <w:rPr>
          <w:lang w:eastAsia="en-GB"/>
        </w:rPr>
        <w:t>100 cm</w:t>
      </w:r>
      <w:r w:rsidRPr="00B96344">
        <w:rPr>
          <w:vertAlign w:val="superscript"/>
          <w:lang w:eastAsia="en-GB"/>
        </w:rPr>
        <w:t>3</w:t>
      </w:r>
      <w:r w:rsidR="009F5A27">
        <w:rPr>
          <w:vertAlign w:val="superscript"/>
          <w:lang w:eastAsia="en-GB"/>
        </w:rPr>
        <w:t xml:space="preserve"> </w:t>
      </w:r>
      <w:r w:rsidRPr="00B96344">
        <w:rPr>
          <w:lang w:eastAsia="en-GB"/>
        </w:rPr>
        <w:t>of 0.1 mol dm</w:t>
      </w:r>
      <w:r w:rsidRPr="00B96344">
        <w:rPr>
          <w:vertAlign w:val="superscript"/>
          <w:lang w:eastAsia="en-GB"/>
        </w:rPr>
        <w:t>-3</w:t>
      </w:r>
      <w:r w:rsidR="009F5A27">
        <w:rPr>
          <w:lang w:eastAsia="en-GB"/>
        </w:rPr>
        <w:t xml:space="preserve"> </w:t>
      </w:r>
      <w:r w:rsidRPr="00B96344">
        <w:rPr>
          <w:lang w:eastAsia="en-GB"/>
        </w:rPr>
        <w:t>sodium hydroxide</w:t>
      </w:r>
    </w:p>
    <w:p w14:paraId="6C34F496" w14:textId="1319A207" w:rsidR="00706B4A" w:rsidRPr="00B96344" w:rsidRDefault="00706B4A" w:rsidP="00706B4A">
      <w:pPr>
        <w:pStyle w:val="RSCBulletedlist"/>
        <w:rPr>
          <w:lang w:eastAsia="en-GB"/>
        </w:rPr>
      </w:pPr>
      <w:proofErr w:type="spellStart"/>
      <w:r w:rsidRPr="00B96344">
        <w:rPr>
          <w:lang w:eastAsia="en-GB"/>
        </w:rPr>
        <w:t>Approx</w:t>
      </w:r>
      <w:proofErr w:type="spellEnd"/>
      <w:r w:rsidRPr="00B96344">
        <w:rPr>
          <w:lang w:eastAsia="en-GB"/>
        </w:rPr>
        <w:t xml:space="preserve"> 450 cm</w:t>
      </w:r>
      <w:r w:rsidRPr="00B96344">
        <w:rPr>
          <w:vertAlign w:val="superscript"/>
          <w:lang w:eastAsia="en-GB"/>
        </w:rPr>
        <w:t>3</w:t>
      </w:r>
      <w:r w:rsidR="009F5A27">
        <w:rPr>
          <w:vertAlign w:val="superscript"/>
          <w:lang w:eastAsia="en-GB"/>
        </w:rPr>
        <w:t xml:space="preserve"> </w:t>
      </w:r>
      <w:r w:rsidRPr="00B96344">
        <w:rPr>
          <w:lang w:eastAsia="en-GB"/>
        </w:rPr>
        <w:t>of deionised water</w:t>
      </w:r>
    </w:p>
    <w:p w14:paraId="46980A8A" w14:textId="39B3DBC5" w:rsidR="00706B4A" w:rsidRPr="00B96344" w:rsidRDefault="00706B4A" w:rsidP="00706B4A">
      <w:pPr>
        <w:pStyle w:val="RSCBulletedlist"/>
        <w:rPr>
          <w:lang w:eastAsia="en-GB"/>
        </w:rPr>
      </w:pPr>
      <w:r w:rsidRPr="00B96344">
        <w:rPr>
          <w:lang w:eastAsia="en-GB"/>
        </w:rPr>
        <w:t>500 cm</w:t>
      </w:r>
      <w:r w:rsidRPr="00B96344">
        <w:rPr>
          <w:vertAlign w:val="superscript"/>
          <w:lang w:eastAsia="en-GB"/>
        </w:rPr>
        <w:t>3</w:t>
      </w:r>
      <w:r w:rsidR="009F5A27">
        <w:rPr>
          <w:lang w:eastAsia="en-GB"/>
        </w:rPr>
        <w:t xml:space="preserve"> </w:t>
      </w:r>
      <w:r w:rsidRPr="00B96344">
        <w:rPr>
          <w:lang w:eastAsia="en-GB"/>
        </w:rPr>
        <w:t>beakers</w:t>
      </w:r>
    </w:p>
    <w:p w14:paraId="51D92746" w14:textId="660976D2" w:rsidR="00706B4A" w:rsidRPr="00B96344" w:rsidRDefault="00706B4A" w:rsidP="00706B4A">
      <w:pPr>
        <w:pStyle w:val="RSCBulletedlist"/>
        <w:rPr>
          <w:lang w:eastAsia="en-GB"/>
        </w:rPr>
      </w:pPr>
      <w:r w:rsidRPr="00B96344">
        <w:rPr>
          <w:lang w:eastAsia="en-GB"/>
        </w:rPr>
        <w:t>Magnetic stirrer</w:t>
      </w:r>
    </w:p>
    <w:p w14:paraId="12C48BCA" w14:textId="317EE699" w:rsidR="00706B4A" w:rsidRPr="00B96344" w:rsidRDefault="00706B4A" w:rsidP="00706B4A">
      <w:pPr>
        <w:pStyle w:val="RSCBulletedlist"/>
        <w:rPr>
          <w:lang w:eastAsia="en-GB"/>
        </w:rPr>
      </w:pPr>
      <w:r w:rsidRPr="00B96344">
        <w:rPr>
          <w:lang w:eastAsia="en-GB"/>
        </w:rPr>
        <w:t>Clamp and stand</w:t>
      </w:r>
    </w:p>
    <w:p w14:paraId="19337251" w14:textId="77777777" w:rsidR="00706B4A" w:rsidRPr="00B96344" w:rsidRDefault="00706B4A" w:rsidP="00706B4A">
      <w:pPr>
        <w:pStyle w:val="RSCBulletedlist"/>
        <w:rPr>
          <w:lang w:eastAsia="en-GB"/>
        </w:rPr>
      </w:pPr>
      <w:r w:rsidRPr="00B96344">
        <w:rPr>
          <w:lang w:eastAsia="en-GB"/>
        </w:rPr>
        <w:t>Burette and burette clamp</w:t>
      </w:r>
    </w:p>
    <w:p w14:paraId="55FE5951" w14:textId="2A336CB6" w:rsidR="00706B4A" w:rsidRPr="00C331BD" w:rsidRDefault="00706B4A" w:rsidP="00706B4A">
      <w:pPr>
        <w:pStyle w:val="RSCBulletedlist"/>
        <w:rPr>
          <w:lang w:eastAsia="en-GB"/>
        </w:rPr>
      </w:pPr>
      <w:r w:rsidRPr="00B96344">
        <w:rPr>
          <w:lang w:eastAsia="en-GB"/>
        </w:rPr>
        <w:t>Conductivity probe</w:t>
      </w:r>
    </w:p>
    <w:p w14:paraId="1C326A6B" w14:textId="4B0D7BDA" w:rsidR="00A5740C" w:rsidRDefault="00C331BD" w:rsidP="00C331BD">
      <w:pPr>
        <w:pStyle w:val="RSCH2"/>
        <w:rPr>
          <w:lang w:eastAsia="en-GB"/>
        </w:rPr>
      </w:pPr>
      <w:r>
        <w:rPr>
          <w:lang w:eastAsia="en-GB"/>
        </w:rPr>
        <w:t>Preparation</w:t>
      </w:r>
    </w:p>
    <w:p w14:paraId="061A7360" w14:textId="7F94623A" w:rsidR="00706B4A" w:rsidRPr="00706B4A" w:rsidRDefault="00706B4A" w:rsidP="00706B4A">
      <w:pPr>
        <w:pStyle w:val="NormalWeb"/>
        <w:spacing w:before="0" w:beforeAutospacing="0" w:after="0" w:afterAutospacing="0" w:line="234" w:lineRule="atLeast"/>
        <w:ind w:right="150"/>
        <w:jc w:val="left"/>
        <w:rPr>
          <w:rFonts w:ascii="Century Gothic" w:eastAsiaTheme="minorHAnsi" w:hAnsi="Century Gothic" w:cs="Arial"/>
          <w:sz w:val="22"/>
          <w:szCs w:val="22"/>
          <w:lang w:eastAsia="zh-CN"/>
        </w:rPr>
      </w:pPr>
      <w:r w:rsidRPr="00706B4A">
        <w:rPr>
          <w:rFonts w:ascii="Century Gothic" w:eastAsiaTheme="minorHAnsi" w:hAnsi="Century Gothic" w:cs="Arial"/>
          <w:sz w:val="22"/>
          <w:szCs w:val="22"/>
          <w:lang w:eastAsia="zh-CN"/>
        </w:rPr>
        <w:t xml:space="preserve">Wear eye protection. Load one of the acids into a beaker and dilute to </w:t>
      </w:r>
      <w:proofErr w:type="spellStart"/>
      <w:r w:rsidRPr="00706B4A">
        <w:rPr>
          <w:rFonts w:ascii="Century Gothic" w:eastAsiaTheme="minorHAnsi" w:hAnsi="Century Gothic" w:cs="Arial"/>
          <w:sz w:val="22"/>
          <w:szCs w:val="22"/>
          <w:lang w:eastAsia="zh-CN"/>
        </w:rPr>
        <w:t>approx</w:t>
      </w:r>
      <w:proofErr w:type="spellEnd"/>
      <w:r w:rsidRPr="00706B4A">
        <w:rPr>
          <w:rFonts w:ascii="Century Gothic" w:eastAsiaTheme="minorHAnsi" w:hAnsi="Century Gothic" w:cs="Arial"/>
          <w:sz w:val="22"/>
          <w:szCs w:val="22"/>
          <w:lang w:eastAsia="zh-CN"/>
        </w:rPr>
        <w:t xml:space="preserve"> </w:t>
      </w:r>
      <w:r w:rsidR="009F5A27">
        <w:rPr>
          <w:rFonts w:ascii="Century Gothic" w:eastAsiaTheme="minorHAnsi" w:hAnsi="Century Gothic" w:cs="Arial"/>
          <w:sz w:val="22"/>
          <w:szCs w:val="22"/>
          <w:lang w:eastAsia="zh-CN"/>
        </w:rPr>
        <w:br/>
      </w:r>
      <w:r w:rsidRPr="00706B4A">
        <w:rPr>
          <w:rFonts w:ascii="Century Gothic" w:eastAsiaTheme="minorHAnsi" w:hAnsi="Century Gothic" w:cs="Arial"/>
          <w:sz w:val="22"/>
          <w:szCs w:val="22"/>
          <w:lang w:eastAsia="zh-CN"/>
        </w:rPr>
        <w:t>250 cm3</w:t>
      </w:r>
      <w:r w:rsidR="009F5A27">
        <w:rPr>
          <w:rFonts w:ascii="Century Gothic" w:eastAsiaTheme="minorHAnsi" w:hAnsi="Century Gothic" w:cs="Arial"/>
          <w:sz w:val="22"/>
          <w:szCs w:val="22"/>
          <w:lang w:eastAsia="zh-CN"/>
        </w:rPr>
        <w:t xml:space="preserve"> </w:t>
      </w:r>
      <w:r w:rsidRPr="00706B4A">
        <w:rPr>
          <w:rFonts w:ascii="Century Gothic" w:eastAsiaTheme="minorHAnsi" w:hAnsi="Century Gothic" w:cs="Arial"/>
          <w:sz w:val="22"/>
          <w:szCs w:val="22"/>
          <w:lang w:eastAsia="zh-CN"/>
        </w:rPr>
        <w:t>with deionised water, add a stirrer bead and place on the magnetic stirrer. Use a clamp to position the conductivity probe so the tip is in the middle of the beaker. Next, position the burette, loaded with the sodium hydroxide solution above the beaker, ensuring the conductivity probe isn’t directly below the jet of the base.</w:t>
      </w:r>
    </w:p>
    <w:p w14:paraId="0A9086C0" w14:textId="0C093E07" w:rsidR="00C331BD" w:rsidRDefault="00C331BD" w:rsidP="00C331BD">
      <w:pPr>
        <w:pStyle w:val="RSCH2"/>
        <w:rPr>
          <w:lang w:eastAsia="en-GB"/>
        </w:rPr>
      </w:pPr>
      <w:r w:rsidRPr="00C331BD">
        <w:rPr>
          <w:lang w:eastAsia="en-GB"/>
        </w:rPr>
        <w:t>In front of the class</w:t>
      </w:r>
    </w:p>
    <w:p w14:paraId="55597E0C" w14:textId="633BCA1E" w:rsidR="00706B4A" w:rsidRPr="00706B4A" w:rsidRDefault="00706B4A" w:rsidP="00706B4A">
      <w:pPr>
        <w:pStyle w:val="NormalWeb"/>
        <w:spacing w:before="0" w:beforeAutospacing="0" w:after="0" w:afterAutospacing="0" w:line="234" w:lineRule="atLeast"/>
        <w:ind w:right="150"/>
        <w:jc w:val="left"/>
        <w:rPr>
          <w:rFonts w:ascii="Century Gothic" w:eastAsiaTheme="minorHAnsi" w:hAnsi="Century Gothic" w:cs="Arial"/>
          <w:sz w:val="22"/>
          <w:szCs w:val="22"/>
          <w:lang w:eastAsia="zh-CN"/>
        </w:rPr>
      </w:pPr>
      <w:r w:rsidRPr="00706B4A">
        <w:rPr>
          <w:rFonts w:ascii="Century Gothic" w:eastAsiaTheme="minorHAnsi" w:hAnsi="Century Gothic" w:cs="Arial"/>
          <w:sz w:val="22"/>
          <w:szCs w:val="22"/>
          <w:lang w:eastAsia="zh-CN"/>
        </w:rPr>
        <w:t xml:space="preserve">Before starting the experiment, demonstrate the conductivity of the three starting solutions using the probe. The 0.1 M solutions of strong acid and base will both give readings in the tens of thousands of </w:t>
      </w:r>
      <w:proofErr w:type="spellStart"/>
      <w:r w:rsidRPr="00706B4A">
        <w:rPr>
          <w:rFonts w:ascii="Century Gothic" w:eastAsiaTheme="minorHAnsi" w:hAnsi="Century Gothic" w:cs="Arial"/>
          <w:sz w:val="22"/>
          <w:szCs w:val="22"/>
          <w:lang w:eastAsia="zh-CN"/>
        </w:rPr>
        <w:t>μS</w:t>
      </w:r>
      <w:proofErr w:type="spellEnd"/>
      <w:r w:rsidRPr="00706B4A">
        <w:rPr>
          <w:rFonts w:ascii="Century Gothic" w:eastAsiaTheme="minorHAnsi" w:hAnsi="Century Gothic" w:cs="Arial"/>
          <w:sz w:val="22"/>
          <w:szCs w:val="22"/>
          <w:lang w:eastAsia="zh-CN"/>
        </w:rPr>
        <w:t>/cm, while the weak acid will give well under a tenth of this value. The CLEAPSS conductivity indicator (CLEAPSS members</w:t>
      </w:r>
      <w:r w:rsidR="009F5A27">
        <w:rPr>
          <w:rFonts w:ascii="Century Gothic" w:eastAsiaTheme="minorHAnsi" w:hAnsi="Century Gothic" w:cs="Arial"/>
          <w:sz w:val="22"/>
          <w:szCs w:val="22"/>
          <w:lang w:eastAsia="zh-CN"/>
        </w:rPr>
        <w:t xml:space="preserve"> see </w:t>
      </w:r>
      <w:hyperlink r:id="rId7" w:history="1">
        <w:r w:rsidR="009F5A27" w:rsidRPr="009F5A27">
          <w:rPr>
            <w:rStyle w:val="Hyperlink"/>
            <w:rFonts w:ascii="Century Gothic" w:eastAsiaTheme="minorHAnsi" w:hAnsi="Century Gothic" w:cs="Arial"/>
            <w:sz w:val="22"/>
            <w:szCs w:val="22"/>
            <w:lang w:eastAsia="zh-CN"/>
          </w:rPr>
          <w:t>GL66</w:t>
        </w:r>
      </w:hyperlink>
      <w:r w:rsidR="009F5A27">
        <w:rPr>
          <w:rFonts w:ascii="Century Gothic" w:eastAsiaTheme="minorHAnsi" w:hAnsi="Century Gothic" w:cs="Arial"/>
          <w:sz w:val="22"/>
          <w:szCs w:val="22"/>
          <w:lang w:eastAsia="zh-CN"/>
        </w:rPr>
        <w:t xml:space="preserve">) </w:t>
      </w:r>
      <w:r w:rsidRPr="00706B4A">
        <w:rPr>
          <w:rFonts w:ascii="Century Gothic" w:eastAsiaTheme="minorHAnsi" w:hAnsi="Century Gothic" w:cs="Arial"/>
          <w:sz w:val="22"/>
          <w:szCs w:val="22"/>
          <w:lang w:eastAsia="zh-CN"/>
        </w:rPr>
        <w:t>clearly displays the difference with the brightness of its LED.</w:t>
      </w:r>
    </w:p>
    <w:p w14:paraId="654562D5" w14:textId="5760D17E" w:rsidR="00706B4A" w:rsidRPr="00706B4A" w:rsidRDefault="00706B4A" w:rsidP="00706B4A">
      <w:pPr>
        <w:pStyle w:val="NormalWeb"/>
        <w:spacing w:before="0" w:beforeAutospacing="0" w:after="0" w:afterAutospacing="0" w:line="234" w:lineRule="atLeast"/>
        <w:ind w:right="150"/>
        <w:jc w:val="left"/>
        <w:rPr>
          <w:rFonts w:ascii="Century Gothic" w:eastAsiaTheme="minorHAnsi" w:hAnsi="Century Gothic" w:cs="Arial"/>
          <w:sz w:val="22"/>
          <w:szCs w:val="22"/>
          <w:lang w:eastAsia="zh-CN"/>
        </w:rPr>
      </w:pPr>
      <w:r w:rsidRPr="00706B4A">
        <w:rPr>
          <w:rFonts w:ascii="Century Gothic" w:eastAsiaTheme="minorHAnsi" w:hAnsi="Century Gothic" w:cs="Arial"/>
          <w:sz w:val="22"/>
          <w:szCs w:val="22"/>
          <w:lang w:eastAsia="zh-CN"/>
        </w:rPr>
        <w:t xml:space="preserve">With no precipitation reaction to worry about, there is no need to be conservative with the burette tap. You can open it fully as soon as your conductivity probe is ready. Once open, log the data collected by the probe for a minimum of around two minutes. </w:t>
      </w:r>
      <w:r w:rsidR="009F5A27">
        <w:rPr>
          <w:rFonts w:ascii="Century Gothic" w:eastAsiaTheme="minorHAnsi" w:hAnsi="Century Gothic" w:cs="Arial"/>
          <w:sz w:val="22"/>
          <w:szCs w:val="22"/>
          <w:lang w:eastAsia="zh-CN"/>
        </w:rPr>
        <w:t>R</w:t>
      </w:r>
      <w:r w:rsidRPr="00706B4A">
        <w:rPr>
          <w:rFonts w:ascii="Century Gothic" w:eastAsiaTheme="minorHAnsi" w:hAnsi="Century Gothic" w:cs="Arial"/>
          <w:sz w:val="22"/>
          <w:szCs w:val="22"/>
          <w:lang w:eastAsia="zh-CN"/>
        </w:rPr>
        <w:t>epeat the demonstration again with the second acid.</w:t>
      </w:r>
    </w:p>
    <w:p w14:paraId="1023AC54" w14:textId="6B441538" w:rsidR="00C331BD" w:rsidRPr="00706B4A" w:rsidRDefault="00706B4A" w:rsidP="00706B4A">
      <w:pPr>
        <w:pStyle w:val="NormalWeb"/>
        <w:spacing w:before="0" w:beforeAutospacing="0" w:after="0" w:afterAutospacing="0" w:line="234" w:lineRule="atLeast"/>
        <w:ind w:right="150"/>
        <w:jc w:val="left"/>
        <w:rPr>
          <w:rFonts w:ascii="Century Gothic" w:eastAsiaTheme="minorHAnsi" w:hAnsi="Century Gothic" w:cs="Arial"/>
          <w:sz w:val="22"/>
          <w:szCs w:val="22"/>
          <w:lang w:eastAsia="zh-CN"/>
        </w:rPr>
      </w:pPr>
      <w:r w:rsidRPr="00706B4A">
        <w:rPr>
          <w:rFonts w:ascii="Century Gothic" w:eastAsiaTheme="minorHAnsi" w:hAnsi="Century Gothic" w:cs="Arial"/>
          <w:sz w:val="22"/>
          <w:szCs w:val="22"/>
          <w:lang w:eastAsia="zh-CN"/>
        </w:rPr>
        <w:t xml:space="preserve">For the neutralisation of the strong (hydrochloric) acid, the conductivity will decrease to a minimum (still above 1000 </w:t>
      </w:r>
      <w:proofErr w:type="spellStart"/>
      <w:r w:rsidRPr="00706B4A">
        <w:rPr>
          <w:rFonts w:ascii="Century Gothic" w:eastAsiaTheme="minorHAnsi" w:hAnsi="Century Gothic" w:cs="Arial"/>
          <w:sz w:val="22"/>
          <w:szCs w:val="22"/>
          <w:lang w:eastAsia="zh-CN"/>
        </w:rPr>
        <w:t>μS</w:t>
      </w:r>
      <w:proofErr w:type="spellEnd"/>
      <w:r w:rsidRPr="00706B4A">
        <w:rPr>
          <w:rFonts w:ascii="Century Gothic" w:eastAsiaTheme="minorHAnsi" w:hAnsi="Century Gothic" w:cs="Arial"/>
          <w:sz w:val="22"/>
          <w:szCs w:val="22"/>
          <w:lang w:eastAsia="zh-CN"/>
        </w:rPr>
        <w:t xml:space="preserve">/cm) when half the sodium hydroxide has been delivered. In contrast, the conductivity in the weak (ethanoic) acid titration will increase to the equivalence point – if you’re lucky, you may also see a subtle dip at the beginning before the conductivity rises. After the equivalence </w:t>
      </w:r>
      <w:r w:rsidRPr="00706B4A">
        <w:rPr>
          <w:rFonts w:ascii="Century Gothic" w:eastAsiaTheme="minorHAnsi" w:hAnsi="Century Gothic" w:cs="Arial"/>
          <w:sz w:val="22"/>
          <w:szCs w:val="22"/>
          <w:lang w:eastAsia="zh-CN"/>
        </w:rPr>
        <w:lastRenderedPageBreak/>
        <w:t>point, the conductivity in both titrations will rise at the same rate, as excess sodium and hydroxide ions are added to the mixture.</w:t>
      </w:r>
      <w:r w:rsidR="00C331BD" w:rsidRPr="00C331BD">
        <w:t xml:space="preserve"> </w:t>
      </w:r>
    </w:p>
    <w:p w14:paraId="5E9BED05" w14:textId="181FAD38" w:rsidR="00C331BD" w:rsidRPr="00C331BD" w:rsidRDefault="00C331BD" w:rsidP="00C331BD">
      <w:pPr>
        <w:pStyle w:val="RSCH2"/>
        <w:rPr>
          <w:rFonts w:cs="Times New Roman"/>
          <w:lang w:eastAsia="en-US"/>
        </w:rPr>
      </w:pPr>
      <w:r w:rsidRPr="00C331BD">
        <w:rPr>
          <w:lang w:eastAsia="en-US"/>
        </w:rPr>
        <w:t>Teaching goal</w:t>
      </w:r>
    </w:p>
    <w:p w14:paraId="284A553A" w14:textId="77777777" w:rsidR="00706B4A" w:rsidRPr="00706B4A" w:rsidRDefault="00706B4A" w:rsidP="00706B4A">
      <w:pPr>
        <w:pStyle w:val="NormalWeb"/>
        <w:spacing w:before="0" w:beforeAutospacing="0" w:after="0" w:afterAutospacing="0" w:line="234" w:lineRule="atLeast"/>
        <w:ind w:right="150"/>
        <w:jc w:val="left"/>
        <w:rPr>
          <w:rFonts w:ascii="Century Gothic" w:eastAsiaTheme="minorHAnsi" w:hAnsi="Century Gothic" w:cs="Arial"/>
          <w:sz w:val="22"/>
          <w:szCs w:val="22"/>
          <w:lang w:eastAsia="zh-CN"/>
        </w:rPr>
      </w:pPr>
      <w:r w:rsidRPr="00706B4A">
        <w:rPr>
          <w:rFonts w:ascii="Century Gothic" w:eastAsiaTheme="minorHAnsi" w:hAnsi="Century Gothic" w:cs="Arial"/>
          <w:sz w:val="22"/>
          <w:szCs w:val="22"/>
          <w:lang w:eastAsia="zh-CN"/>
        </w:rPr>
        <w:t>This demonstration emphasises the differences in the composition of solutions of strong and weak acids. It would be appropriate at the beginning or end of a unit where comparisons are made between pH curves and conductivity.</w:t>
      </w:r>
    </w:p>
    <w:p w14:paraId="46B45B5A" w14:textId="2161AFF1" w:rsidR="00706B4A" w:rsidRPr="00706B4A" w:rsidRDefault="00706B4A" w:rsidP="00706B4A">
      <w:pPr>
        <w:pStyle w:val="NormalWeb"/>
        <w:spacing w:before="0" w:beforeAutospacing="0" w:after="0" w:afterAutospacing="0" w:line="234" w:lineRule="atLeast"/>
        <w:ind w:right="150"/>
        <w:jc w:val="left"/>
        <w:rPr>
          <w:rFonts w:ascii="Century Gothic" w:eastAsiaTheme="minorHAnsi" w:hAnsi="Century Gothic" w:cs="Arial"/>
          <w:sz w:val="22"/>
          <w:szCs w:val="22"/>
          <w:lang w:eastAsia="zh-CN"/>
        </w:rPr>
      </w:pPr>
      <w:r w:rsidRPr="00706B4A">
        <w:rPr>
          <w:rFonts w:ascii="Century Gothic" w:eastAsiaTheme="minorHAnsi" w:hAnsi="Century Gothic" w:cs="Arial"/>
          <w:sz w:val="22"/>
          <w:szCs w:val="22"/>
          <w:lang w:eastAsia="zh-CN"/>
        </w:rPr>
        <w:t xml:space="preserve">Note: the </w:t>
      </w:r>
      <w:proofErr w:type="gramStart"/>
      <w:r w:rsidRPr="00706B4A">
        <w:rPr>
          <w:rFonts w:ascii="Century Gothic" w:eastAsiaTheme="minorHAnsi" w:hAnsi="Century Gothic" w:cs="Arial"/>
          <w:sz w:val="22"/>
          <w:szCs w:val="22"/>
          <w:lang w:eastAsia="zh-CN"/>
        </w:rPr>
        <w:t>sulfuric(</w:t>
      </w:r>
      <w:proofErr w:type="gramEnd"/>
      <w:r>
        <w:rPr>
          <w:rFonts w:ascii="Century Gothic" w:eastAsiaTheme="minorHAnsi" w:hAnsi="Century Gothic" w:cs="Arial"/>
          <w:sz w:val="22"/>
          <w:szCs w:val="22"/>
          <w:lang w:eastAsia="zh-CN"/>
        </w:rPr>
        <w:t>VI</w:t>
      </w:r>
      <w:r w:rsidRPr="00706B4A">
        <w:rPr>
          <w:rFonts w:ascii="Century Gothic" w:eastAsiaTheme="minorHAnsi" w:hAnsi="Century Gothic" w:cs="Arial"/>
          <w:sz w:val="22"/>
          <w:szCs w:val="22"/>
          <w:lang w:eastAsia="zh-CN"/>
        </w:rPr>
        <w:t>) acid used in the previous demonstration had a higher initial conductivity than the hydrochloric acid used in the current experiment. This is due to a higher concentration of hydrogen ions in solution and the additional charge carried by the conjugate base. For the strong acid, the conductivity drops in a near-linear fashion in the initial part of the neutralisation reaction. It then increases from the equivalence point onwards, next the dilution effects become more pronounced and the flow rate from the burette reduces (as the amount of liquid it contains reduces, so does the downwards pressure).</w:t>
      </w:r>
    </w:p>
    <w:p w14:paraId="102157E7" w14:textId="1A9D6565" w:rsidR="00706B4A" w:rsidRPr="00706B4A" w:rsidRDefault="00706B4A" w:rsidP="00706B4A">
      <w:pPr>
        <w:pStyle w:val="NormalWeb"/>
        <w:spacing w:before="0" w:beforeAutospacing="0" w:after="0" w:afterAutospacing="0" w:line="234" w:lineRule="atLeast"/>
        <w:ind w:right="150"/>
        <w:jc w:val="left"/>
        <w:rPr>
          <w:rFonts w:ascii="Century Gothic" w:eastAsiaTheme="minorHAnsi" w:hAnsi="Century Gothic" w:cs="Arial"/>
          <w:sz w:val="22"/>
          <w:szCs w:val="22"/>
          <w:lang w:eastAsia="zh-CN"/>
        </w:rPr>
      </w:pPr>
      <w:r w:rsidRPr="00706B4A">
        <w:rPr>
          <w:rFonts w:ascii="Century Gothic" w:eastAsiaTheme="minorHAnsi" w:hAnsi="Century Gothic" w:cs="Arial"/>
          <w:sz w:val="22"/>
          <w:szCs w:val="22"/>
          <w:lang w:eastAsia="zh-CN"/>
        </w:rPr>
        <w:t>In the</w:t>
      </w:r>
      <w:r w:rsidR="009F5A27">
        <w:rPr>
          <w:rFonts w:ascii="Century Gothic" w:eastAsiaTheme="minorHAnsi" w:hAnsi="Century Gothic" w:cs="Arial"/>
          <w:sz w:val="22"/>
          <w:szCs w:val="22"/>
          <w:lang w:eastAsia="zh-CN"/>
        </w:rPr>
        <w:t xml:space="preserve"> </w:t>
      </w:r>
      <w:hyperlink r:id="rId8" w:history="1">
        <w:r w:rsidRPr="00706B4A">
          <w:rPr>
            <w:rFonts w:ascii="Century Gothic" w:eastAsiaTheme="minorHAnsi" w:hAnsi="Century Gothic" w:cs="Arial"/>
            <w:sz w:val="22"/>
            <w:szCs w:val="22"/>
            <w:lang w:eastAsia="zh-CN"/>
          </w:rPr>
          <w:t>previous Exhibition chemistry experiment</w:t>
        </w:r>
      </w:hyperlink>
      <w:r w:rsidRPr="00706B4A">
        <w:rPr>
          <w:rFonts w:ascii="Century Gothic" w:eastAsiaTheme="minorHAnsi" w:hAnsi="Century Gothic" w:cs="Arial"/>
          <w:sz w:val="22"/>
          <w:szCs w:val="22"/>
          <w:lang w:eastAsia="zh-CN"/>
        </w:rPr>
        <w:t>, we saw the conductivity drop close to zero at the equivalence point as the salt precipitated out of solution, but here the salt remains in solution. However, anyone paying attention ought to wonder why the conductivity drops at all given that the numbers and charges of ions in solution remain constant throughout – with each H</w:t>
      </w:r>
      <w:r w:rsidRPr="009F5A27">
        <w:rPr>
          <w:rFonts w:ascii="Century Gothic" w:eastAsiaTheme="minorHAnsi" w:hAnsi="Century Gothic" w:cs="Arial"/>
          <w:sz w:val="22"/>
          <w:szCs w:val="22"/>
          <w:vertAlign w:val="superscript"/>
          <w:lang w:eastAsia="zh-CN"/>
        </w:rPr>
        <w:t>+</w:t>
      </w:r>
      <w:r w:rsidR="009F5A27">
        <w:rPr>
          <w:rFonts w:ascii="Century Gothic" w:eastAsiaTheme="minorHAnsi" w:hAnsi="Century Gothic" w:cs="Arial"/>
          <w:sz w:val="22"/>
          <w:szCs w:val="22"/>
          <w:lang w:eastAsia="zh-CN"/>
        </w:rPr>
        <w:t xml:space="preserve"> </w:t>
      </w:r>
      <w:r w:rsidRPr="00706B4A">
        <w:rPr>
          <w:rFonts w:ascii="Century Gothic" w:eastAsiaTheme="minorHAnsi" w:hAnsi="Century Gothic" w:cs="Arial"/>
          <w:sz w:val="22"/>
          <w:szCs w:val="22"/>
          <w:lang w:eastAsia="zh-CN"/>
        </w:rPr>
        <w:t>ion being replaced like-for-like with a Na</w:t>
      </w:r>
      <w:r w:rsidRPr="009F5A27">
        <w:rPr>
          <w:rFonts w:ascii="Century Gothic" w:eastAsiaTheme="minorHAnsi" w:hAnsi="Century Gothic" w:cs="Arial"/>
          <w:sz w:val="22"/>
          <w:szCs w:val="22"/>
          <w:vertAlign w:val="superscript"/>
          <w:lang w:eastAsia="zh-CN"/>
        </w:rPr>
        <w:t>+</w:t>
      </w:r>
      <w:r w:rsidR="009F5A27">
        <w:rPr>
          <w:rFonts w:ascii="Century Gothic" w:eastAsiaTheme="minorHAnsi" w:hAnsi="Century Gothic" w:cs="Arial"/>
          <w:sz w:val="22"/>
          <w:szCs w:val="22"/>
          <w:lang w:eastAsia="zh-CN"/>
        </w:rPr>
        <w:t xml:space="preserve"> </w:t>
      </w:r>
      <w:r w:rsidRPr="00706B4A">
        <w:rPr>
          <w:rFonts w:ascii="Century Gothic" w:eastAsiaTheme="minorHAnsi" w:hAnsi="Century Gothic" w:cs="Arial"/>
          <w:sz w:val="22"/>
          <w:szCs w:val="22"/>
          <w:lang w:eastAsia="zh-CN"/>
        </w:rPr>
        <w:t>ion and each Cl</w:t>
      </w:r>
      <w:r w:rsidRPr="009F5A27">
        <w:rPr>
          <w:rFonts w:ascii="Century Gothic" w:eastAsiaTheme="minorHAnsi" w:hAnsi="Century Gothic" w:cs="Arial"/>
          <w:sz w:val="22"/>
          <w:szCs w:val="22"/>
          <w:vertAlign w:val="superscript"/>
          <w:lang w:eastAsia="zh-CN"/>
        </w:rPr>
        <w:t>-</w:t>
      </w:r>
      <w:r w:rsidR="009F5A27">
        <w:rPr>
          <w:rFonts w:ascii="Century Gothic" w:eastAsiaTheme="minorHAnsi" w:hAnsi="Century Gothic" w:cs="Arial"/>
          <w:sz w:val="22"/>
          <w:szCs w:val="22"/>
          <w:lang w:eastAsia="zh-CN"/>
        </w:rPr>
        <w:t xml:space="preserve"> </w:t>
      </w:r>
      <w:r w:rsidRPr="00706B4A">
        <w:rPr>
          <w:rFonts w:ascii="Century Gothic" w:eastAsiaTheme="minorHAnsi" w:hAnsi="Century Gothic" w:cs="Arial"/>
          <w:sz w:val="22"/>
          <w:szCs w:val="22"/>
          <w:lang w:eastAsia="zh-CN"/>
        </w:rPr>
        <w:t>with a OH</w:t>
      </w:r>
      <w:r w:rsidRPr="009F5A27">
        <w:rPr>
          <w:rFonts w:ascii="Century Gothic" w:eastAsiaTheme="minorHAnsi" w:hAnsi="Century Gothic" w:cs="Arial"/>
          <w:sz w:val="22"/>
          <w:szCs w:val="22"/>
          <w:vertAlign w:val="superscript"/>
          <w:lang w:eastAsia="zh-CN"/>
        </w:rPr>
        <w:t>-</w:t>
      </w:r>
      <w:r w:rsidRPr="00706B4A">
        <w:rPr>
          <w:rFonts w:ascii="Century Gothic" w:eastAsiaTheme="minorHAnsi" w:hAnsi="Century Gothic" w:cs="Arial"/>
          <w:sz w:val="22"/>
          <w:szCs w:val="22"/>
          <w:lang w:eastAsia="zh-CN"/>
        </w:rPr>
        <w:t>.</w:t>
      </w:r>
    </w:p>
    <w:p w14:paraId="6E95CAEB" w14:textId="7F619673" w:rsidR="00C331BD" w:rsidRPr="009F5A27" w:rsidRDefault="00706B4A" w:rsidP="009F5A27">
      <w:pPr>
        <w:pStyle w:val="NormalWeb"/>
        <w:spacing w:before="0" w:beforeAutospacing="0" w:after="0" w:afterAutospacing="0" w:line="234" w:lineRule="atLeast"/>
        <w:ind w:right="150"/>
        <w:jc w:val="left"/>
        <w:rPr>
          <w:rFonts w:ascii="Century Gothic" w:eastAsiaTheme="minorHAnsi" w:hAnsi="Century Gothic" w:cs="Arial"/>
          <w:sz w:val="22"/>
          <w:szCs w:val="22"/>
          <w:lang w:eastAsia="zh-CN"/>
        </w:rPr>
      </w:pPr>
      <w:r w:rsidRPr="00706B4A">
        <w:rPr>
          <w:rFonts w:ascii="Century Gothic" w:eastAsiaTheme="minorHAnsi" w:hAnsi="Century Gothic" w:cs="Arial"/>
          <w:sz w:val="22"/>
          <w:szCs w:val="22"/>
          <w:lang w:eastAsia="zh-CN"/>
        </w:rPr>
        <w:t>The answer is that hydrogen ions do not exist in solution in isolation (equation 1) but rather as hydronium ions (equation 2).</w:t>
      </w:r>
      <w:r w:rsidR="009F5A27">
        <w:rPr>
          <w:rFonts w:ascii="Century Gothic" w:eastAsiaTheme="minorHAnsi" w:hAnsi="Century Gothic" w:cs="Arial"/>
          <w:sz w:val="22"/>
          <w:szCs w:val="22"/>
          <w:lang w:eastAsia="zh-CN"/>
        </w:rPr>
        <w:br/>
      </w:r>
    </w:p>
    <w:p w14:paraId="4343B183" w14:textId="2CA3C564" w:rsidR="00C331BD" w:rsidRPr="00C331BD" w:rsidRDefault="00C331BD" w:rsidP="00C331BD">
      <w:pPr>
        <w:pStyle w:val="RSCBasictext"/>
        <w:rPr>
          <w:lang w:eastAsia="en-US"/>
        </w:rPr>
      </w:pPr>
      <w:r w:rsidRPr="00C331BD">
        <w:rPr>
          <w:b/>
          <w:bCs/>
          <w:lang w:eastAsia="en-US"/>
        </w:rPr>
        <w:t>Equation 1</w:t>
      </w:r>
      <w:r w:rsidRPr="00C331BD">
        <w:rPr>
          <w:lang w:eastAsia="en-US"/>
        </w:rPr>
        <w:t>:</w:t>
      </w:r>
      <w:r w:rsidR="009F5A27">
        <w:rPr>
          <w:lang w:eastAsia="en-US"/>
        </w:rPr>
        <w:t xml:space="preserve"> </w:t>
      </w:r>
      <w:r w:rsidRPr="00C331BD">
        <w:rPr>
          <w:lang w:eastAsia="en-US"/>
        </w:rPr>
        <w:t>H</w:t>
      </w:r>
      <w:r w:rsidRPr="00C331BD">
        <w:rPr>
          <w:vertAlign w:val="superscript"/>
          <w:lang w:eastAsia="en-US"/>
        </w:rPr>
        <w:t>+</w:t>
      </w:r>
      <w:r w:rsidRPr="00C331BD">
        <w:rPr>
          <w:lang w:eastAsia="en-US"/>
        </w:rPr>
        <w:t>(</w:t>
      </w:r>
      <w:proofErr w:type="spellStart"/>
      <w:r w:rsidRPr="00C331BD">
        <w:rPr>
          <w:lang w:eastAsia="en-US"/>
        </w:rPr>
        <w:t>aq</w:t>
      </w:r>
      <w:proofErr w:type="spellEnd"/>
      <w:r w:rsidRPr="00C331BD">
        <w:rPr>
          <w:lang w:eastAsia="en-US"/>
        </w:rPr>
        <w:t>) + OH</w:t>
      </w:r>
      <w:r w:rsidRPr="00C331BD">
        <w:rPr>
          <w:vertAlign w:val="superscript"/>
          <w:lang w:eastAsia="en-US"/>
        </w:rPr>
        <w:t>-</w:t>
      </w:r>
      <w:r w:rsidRPr="00C331BD">
        <w:rPr>
          <w:lang w:eastAsia="en-US"/>
        </w:rPr>
        <w:t>(</w:t>
      </w:r>
      <w:proofErr w:type="spellStart"/>
      <w:r w:rsidRPr="00C331BD">
        <w:rPr>
          <w:lang w:eastAsia="en-US"/>
        </w:rPr>
        <w:t>aq</w:t>
      </w:r>
      <w:proofErr w:type="spellEnd"/>
      <w:r w:rsidRPr="00C331BD">
        <w:rPr>
          <w:lang w:eastAsia="en-US"/>
        </w:rPr>
        <w:t>)</w:t>
      </w:r>
      <w:r w:rsidR="009F5A27">
        <w:rPr>
          <w:lang w:eastAsia="en-US"/>
        </w:rPr>
        <w:t xml:space="preserve"> </w:t>
      </w:r>
      <w:r w:rsidRPr="00C331BD">
        <w:rPr>
          <w:lang w:eastAsia="en-US"/>
        </w:rPr>
        <w:t>→ H</w:t>
      </w:r>
      <w:r w:rsidRPr="00C331BD">
        <w:rPr>
          <w:vertAlign w:val="subscript"/>
          <w:lang w:eastAsia="en-US"/>
        </w:rPr>
        <w:t>2</w:t>
      </w:r>
      <w:r w:rsidRPr="00C331BD">
        <w:rPr>
          <w:lang w:eastAsia="en-US"/>
        </w:rPr>
        <w:t>O(l)</w:t>
      </w:r>
      <w:r w:rsidR="00B24B3D">
        <w:rPr>
          <w:lang w:eastAsia="en-US"/>
        </w:rPr>
        <w:br/>
      </w:r>
      <w:r w:rsidRPr="00C331BD">
        <w:rPr>
          <w:b/>
          <w:bCs/>
          <w:lang w:eastAsia="en-US"/>
        </w:rPr>
        <w:t>Equation 2</w:t>
      </w:r>
      <w:r w:rsidRPr="00C331BD">
        <w:rPr>
          <w:lang w:eastAsia="en-US"/>
        </w:rPr>
        <w:t>:</w:t>
      </w:r>
      <w:r w:rsidR="009F5A27">
        <w:rPr>
          <w:lang w:eastAsia="en-US"/>
        </w:rPr>
        <w:t xml:space="preserve"> </w:t>
      </w:r>
      <w:r w:rsidRPr="00C331BD">
        <w:rPr>
          <w:lang w:eastAsia="en-US"/>
        </w:rPr>
        <w:t>H</w:t>
      </w:r>
      <w:r w:rsidRPr="00C331BD">
        <w:rPr>
          <w:vertAlign w:val="subscript"/>
          <w:lang w:eastAsia="en-US"/>
        </w:rPr>
        <w:t>3</w:t>
      </w:r>
      <w:r w:rsidRPr="00C331BD">
        <w:rPr>
          <w:lang w:eastAsia="en-US"/>
        </w:rPr>
        <w:t>O</w:t>
      </w:r>
      <w:r w:rsidRPr="00C331BD">
        <w:rPr>
          <w:vertAlign w:val="superscript"/>
          <w:lang w:eastAsia="en-US"/>
        </w:rPr>
        <w:t>+</w:t>
      </w:r>
      <w:r w:rsidRPr="00C331BD">
        <w:rPr>
          <w:lang w:eastAsia="en-US"/>
        </w:rPr>
        <w:t>(</w:t>
      </w:r>
      <w:proofErr w:type="spellStart"/>
      <w:r w:rsidRPr="00C331BD">
        <w:rPr>
          <w:lang w:eastAsia="en-US"/>
        </w:rPr>
        <w:t>aq</w:t>
      </w:r>
      <w:proofErr w:type="spellEnd"/>
      <w:r w:rsidRPr="00C331BD">
        <w:rPr>
          <w:lang w:eastAsia="en-US"/>
        </w:rPr>
        <w:t>) + OH</w:t>
      </w:r>
      <w:r w:rsidRPr="0036415C">
        <w:rPr>
          <w:vertAlign w:val="superscript"/>
          <w:lang w:eastAsia="en-US"/>
        </w:rPr>
        <w:t>-</w:t>
      </w:r>
      <w:r w:rsidRPr="00C331BD">
        <w:rPr>
          <w:lang w:eastAsia="en-US"/>
        </w:rPr>
        <w:t>(</w:t>
      </w:r>
      <w:proofErr w:type="spellStart"/>
      <w:r w:rsidRPr="00C331BD">
        <w:rPr>
          <w:lang w:eastAsia="en-US"/>
        </w:rPr>
        <w:t>aq</w:t>
      </w:r>
      <w:proofErr w:type="spellEnd"/>
      <w:r w:rsidRPr="00C331BD">
        <w:rPr>
          <w:lang w:eastAsia="en-US"/>
        </w:rPr>
        <w:t>)</w:t>
      </w:r>
      <w:r w:rsidR="009F5A27">
        <w:rPr>
          <w:lang w:eastAsia="en-US"/>
        </w:rPr>
        <w:t xml:space="preserve"> </w:t>
      </w:r>
      <w:r w:rsidRPr="00C331BD">
        <w:rPr>
          <w:lang w:eastAsia="en-US"/>
        </w:rPr>
        <w:t>→ 2H</w:t>
      </w:r>
      <w:r w:rsidRPr="00C331BD">
        <w:rPr>
          <w:vertAlign w:val="subscript"/>
          <w:lang w:eastAsia="en-US"/>
        </w:rPr>
        <w:t>2</w:t>
      </w:r>
      <w:r w:rsidRPr="00C331BD">
        <w:rPr>
          <w:lang w:eastAsia="en-US"/>
        </w:rPr>
        <w:t>O(l)</w:t>
      </w:r>
      <w:r w:rsidR="00B24B3D">
        <w:rPr>
          <w:lang w:eastAsia="en-US"/>
        </w:rPr>
        <w:br/>
      </w:r>
    </w:p>
    <w:p w14:paraId="2F3A0345" w14:textId="3BA77316" w:rsidR="00706B4A" w:rsidRPr="00706B4A" w:rsidRDefault="00706B4A" w:rsidP="00706B4A">
      <w:pPr>
        <w:pStyle w:val="NormalWeb"/>
        <w:spacing w:before="0" w:beforeAutospacing="0" w:after="0" w:afterAutospacing="0" w:line="234" w:lineRule="atLeast"/>
        <w:ind w:right="150"/>
        <w:jc w:val="left"/>
        <w:rPr>
          <w:rFonts w:ascii="Century Gothic" w:eastAsiaTheme="minorHAnsi" w:hAnsi="Century Gothic" w:cs="Arial"/>
          <w:sz w:val="22"/>
          <w:szCs w:val="22"/>
          <w:lang w:eastAsia="en-US"/>
        </w:rPr>
      </w:pPr>
      <w:r w:rsidRPr="00706B4A">
        <w:rPr>
          <w:rFonts w:ascii="Century Gothic" w:eastAsiaTheme="minorHAnsi" w:hAnsi="Century Gothic" w:cs="Arial"/>
          <w:sz w:val="22"/>
          <w:szCs w:val="22"/>
          <w:lang w:eastAsia="en-US"/>
        </w:rPr>
        <w:t>When a potential difference is applied, the Na</w:t>
      </w:r>
      <w:r w:rsidRPr="009F5A27">
        <w:rPr>
          <w:rFonts w:ascii="Century Gothic" w:eastAsiaTheme="minorHAnsi" w:hAnsi="Century Gothic" w:cs="Arial"/>
          <w:sz w:val="22"/>
          <w:szCs w:val="22"/>
          <w:vertAlign w:val="superscript"/>
          <w:lang w:eastAsia="en-US"/>
        </w:rPr>
        <w:t>+</w:t>
      </w:r>
      <w:r w:rsidR="009F5A27">
        <w:rPr>
          <w:rFonts w:ascii="Century Gothic" w:eastAsiaTheme="minorHAnsi" w:hAnsi="Century Gothic" w:cs="Arial"/>
          <w:sz w:val="22"/>
          <w:szCs w:val="22"/>
          <w:lang w:eastAsia="en-US"/>
        </w:rPr>
        <w:t xml:space="preserve"> </w:t>
      </w:r>
      <w:r w:rsidRPr="00706B4A">
        <w:rPr>
          <w:rFonts w:ascii="Century Gothic" w:eastAsiaTheme="minorHAnsi" w:hAnsi="Century Gothic" w:cs="Arial"/>
          <w:sz w:val="22"/>
          <w:szCs w:val="22"/>
          <w:lang w:eastAsia="en-US"/>
        </w:rPr>
        <w:t>and Cl</w:t>
      </w:r>
      <w:r w:rsidRPr="009F5A27">
        <w:rPr>
          <w:rFonts w:ascii="Century Gothic" w:eastAsiaTheme="minorHAnsi" w:hAnsi="Century Gothic" w:cs="Arial"/>
          <w:sz w:val="22"/>
          <w:szCs w:val="22"/>
          <w:vertAlign w:val="superscript"/>
          <w:lang w:eastAsia="en-US"/>
        </w:rPr>
        <w:t>-</w:t>
      </w:r>
      <w:r w:rsidR="009F5A27">
        <w:rPr>
          <w:rFonts w:ascii="Century Gothic" w:eastAsiaTheme="minorHAnsi" w:hAnsi="Century Gothic" w:cs="Arial"/>
          <w:sz w:val="22"/>
          <w:szCs w:val="22"/>
          <w:lang w:eastAsia="en-US"/>
        </w:rPr>
        <w:t xml:space="preserve"> </w:t>
      </w:r>
      <w:r w:rsidRPr="00706B4A">
        <w:rPr>
          <w:rFonts w:ascii="Century Gothic" w:eastAsiaTheme="minorHAnsi" w:hAnsi="Century Gothic" w:cs="Arial"/>
          <w:sz w:val="22"/>
          <w:szCs w:val="22"/>
          <w:lang w:eastAsia="en-US"/>
        </w:rPr>
        <w:t>ions</w:t>
      </w:r>
      <w:r w:rsidR="009F5A27">
        <w:rPr>
          <w:rFonts w:ascii="Century Gothic" w:eastAsiaTheme="minorHAnsi" w:hAnsi="Century Gothic" w:cs="Arial"/>
          <w:sz w:val="22"/>
          <w:szCs w:val="22"/>
          <w:lang w:eastAsia="en-US"/>
        </w:rPr>
        <w:t xml:space="preserve"> </w:t>
      </w:r>
      <w:r w:rsidRPr="00706B4A">
        <w:rPr>
          <w:rFonts w:ascii="Century Gothic" w:eastAsiaTheme="minorHAnsi" w:hAnsi="Century Gothic" w:cs="Arial"/>
          <w:sz w:val="22"/>
          <w:szCs w:val="22"/>
          <w:lang w:eastAsia="en-US"/>
        </w:rPr>
        <w:t>physically drift through the solution surrounded by a hydration shell of water molecules, which slows them down. By comparison, the hydronium ions, with their exceedingly-labile additional hydrogen</w:t>
      </w:r>
      <w:r w:rsidR="009F5A27">
        <w:rPr>
          <w:rFonts w:ascii="Century Gothic" w:eastAsiaTheme="minorHAnsi" w:hAnsi="Century Gothic" w:cs="Arial"/>
          <w:sz w:val="22"/>
          <w:szCs w:val="22"/>
          <w:lang w:eastAsia="en-US"/>
        </w:rPr>
        <w:t>,</w:t>
      </w:r>
      <w:r w:rsidRPr="00706B4A">
        <w:rPr>
          <w:rFonts w:ascii="Century Gothic" w:eastAsiaTheme="minorHAnsi" w:hAnsi="Century Gothic" w:cs="Arial"/>
          <w:sz w:val="22"/>
          <w:szCs w:val="22"/>
          <w:lang w:eastAsia="en-US"/>
        </w:rPr>
        <w:t xml:space="preserve"> need not move at all. </w:t>
      </w:r>
      <w:proofErr w:type="gramStart"/>
      <w:r w:rsidRPr="00706B4A">
        <w:rPr>
          <w:rFonts w:ascii="Century Gothic" w:eastAsiaTheme="minorHAnsi" w:hAnsi="Century Gothic" w:cs="Arial"/>
          <w:sz w:val="22"/>
          <w:szCs w:val="22"/>
          <w:lang w:eastAsia="en-US"/>
        </w:rPr>
        <w:t>Instead</w:t>
      </w:r>
      <w:proofErr w:type="gramEnd"/>
      <w:r w:rsidRPr="00706B4A">
        <w:rPr>
          <w:rFonts w:ascii="Century Gothic" w:eastAsiaTheme="minorHAnsi" w:hAnsi="Century Gothic" w:cs="Arial"/>
          <w:sz w:val="22"/>
          <w:szCs w:val="22"/>
          <w:lang w:eastAsia="en-US"/>
        </w:rPr>
        <w:t xml:space="preserve"> they play ‘pass the parcel’ along a chain of neighbouring water molecules to shuffle the charge rapidly through the solution. The hydroxide ions transfer charge in the reverse fashion by stealing hydrogens from their neighbours.</w:t>
      </w:r>
    </w:p>
    <w:p w14:paraId="4021DAC4" w14:textId="7D3CC228" w:rsidR="00C331BD" w:rsidRPr="00706B4A" w:rsidRDefault="00706B4A" w:rsidP="00706B4A">
      <w:pPr>
        <w:pStyle w:val="NormalWeb"/>
        <w:spacing w:before="0" w:beforeAutospacing="0" w:after="0" w:afterAutospacing="0" w:line="234" w:lineRule="atLeast"/>
        <w:ind w:right="150"/>
        <w:jc w:val="left"/>
        <w:rPr>
          <w:rFonts w:ascii="Century Gothic" w:eastAsiaTheme="minorHAnsi" w:hAnsi="Century Gothic" w:cs="Arial"/>
          <w:sz w:val="22"/>
          <w:szCs w:val="22"/>
          <w:lang w:eastAsia="en-US"/>
        </w:rPr>
      </w:pPr>
      <w:r w:rsidRPr="00706B4A">
        <w:rPr>
          <w:rFonts w:ascii="Century Gothic" w:eastAsiaTheme="minorHAnsi" w:hAnsi="Century Gothic" w:cs="Arial"/>
          <w:sz w:val="22"/>
          <w:szCs w:val="22"/>
          <w:lang w:eastAsia="en-US"/>
        </w:rPr>
        <w:t>This effect isn’t observed with the weak acid as most of the particles here remain undissociated. Parallels can be drawn between ethanoic acid’s conductometric titration curve and its strong-base pH curve – in which a short, sharp increase in pH occurs before an effective buffer solution is created. This is reflected in the initial subtle dip of the conductivity curve, where the decrease in H</w:t>
      </w:r>
      <w:r w:rsidRPr="009F5A27">
        <w:rPr>
          <w:rFonts w:ascii="Century Gothic" w:eastAsiaTheme="minorHAnsi" w:hAnsi="Century Gothic" w:cs="Arial"/>
          <w:sz w:val="22"/>
          <w:szCs w:val="22"/>
          <w:vertAlign w:val="subscript"/>
          <w:lang w:eastAsia="en-US"/>
        </w:rPr>
        <w:t>3</w:t>
      </w:r>
      <w:r w:rsidRPr="00706B4A">
        <w:rPr>
          <w:rFonts w:ascii="Century Gothic" w:eastAsiaTheme="minorHAnsi" w:hAnsi="Century Gothic" w:cs="Arial"/>
          <w:sz w:val="22"/>
          <w:szCs w:val="22"/>
          <w:lang w:eastAsia="en-US"/>
        </w:rPr>
        <w:t>O</w:t>
      </w:r>
      <w:r w:rsidRPr="009F5A27">
        <w:rPr>
          <w:rFonts w:ascii="Century Gothic" w:eastAsiaTheme="minorHAnsi" w:hAnsi="Century Gothic" w:cs="Arial"/>
          <w:sz w:val="22"/>
          <w:szCs w:val="22"/>
          <w:vertAlign w:val="superscript"/>
          <w:lang w:eastAsia="en-US"/>
        </w:rPr>
        <w:t>+</w:t>
      </w:r>
      <w:r w:rsidRPr="00706B4A">
        <w:rPr>
          <w:rFonts w:ascii="Century Gothic" w:eastAsiaTheme="minorHAnsi" w:hAnsi="Century Gothic" w:cs="Arial"/>
          <w:sz w:val="22"/>
          <w:szCs w:val="22"/>
          <w:lang w:eastAsia="en-US"/>
        </w:rPr>
        <w:t>is not compensated for by the formation of sodium ethanoate. Once the buffer is established, the conductivity increases slowly with the formation of more salt until the equivalence point is reached. From then, the gradient steepens with the addition of the more-highly conductive sodium hydroxide and matches the gradient of the strong acid titration curve after its own equivalence point. As explained in the last issue, the graph begins to curve more noticeably here as the flow from the burette slows and the solution becomes more diluted. The latter effect has been minimised by the addition of water at the start of the demonstration.</w:t>
      </w:r>
    </w:p>
    <w:sectPr w:rsidR="00C331BD" w:rsidRPr="00706B4A" w:rsidSect="00231C1C">
      <w:headerReference w:type="default" r:id="rId9"/>
      <w:footerReference w:type="default" r:id="rId10"/>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DA24B" w14:textId="77777777" w:rsidR="006C7B0F" w:rsidRDefault="006C7B0F" w:rsidP="008A1B0B">
      <w:pPr>
        <w:spacing w:after="0" w:line="240" w:lineRule="auto"/>
      </w:pPr>
      <w:r>
        <w:separator/>
      </w:r>
    </w:p>
  </w:endnote>
  <w:endnote w:type="continuationSeparator" w:id="0">
    <w:p w14:paraId="1F36981E" w14:textId="77777777" w:rsidR="006C7B0F" w:rsidRDefault="006C7B0F"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512596B7"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2021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9B673" w14:textId="77777777" w:rsidR="006C7B0F" w:rsidRDefault="006C7B0F" w:rsidP="008A1B0B">
      <w:pPr>
        <w:spacing w:after="0" w:line="240" w:lineRule="auto"/>
      </w:pPr>
      <w:r>
        <w:separator/>
      </w:r>
    </w:p>
  </w:footnote>
  <w:footnote w:type="continuationSeparator" w:id="0">
    <w:p w14:paraId="0B26E1C0" w14:textId="77777777" w:rsidR="006C7B0F" w:rsidRDefault="006C7B0F"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10EE5687" w:rsidR="008A1B0B" w:rsidRDefault="00C331BD" w:rsidP="00973447">
    <w:pPr>
      <w:spacing w:after="60" w:line="240" w:lineRule="auto"/>
      <w:ind w:right="-850"/>
      <w:jc w:val="right"/>
      <w:rPr>
        <w:rFonts w:ascii="Century Gothic" w:hAnsi="Century Gothic"/>
        <w:b/>
        <w:bCs/>
        <w:color w:val="000000" w:themeColor="text1"/>
        <w:sz w:val="24"/>
        <w:szCs w:val="24"/>
      </w:rPr>
    </w:pPr>
    <w:r w:rsidRPr="00E86697">
      <w:rPr>
        <w:rFonts w:ascii="Century Gothic" w:hAnsi="Century Gothic"/>
        <w:b/>
        <w:bCs/>
        <w:color w:val="C8102E"/>
        <w:sz w:val="30"/>
        <w:szCs w:val="30"/>
      </w:rPr>
      <w:t>Education in Chemistry</w:t>
    </w:r>
    <w:r>
      <w:rPr>
        <w:noProof/>
      </w:rPr>
      <w:drawing>
        <wp:anchor distT="0" distB="0" distL="114300" distR="114300" simplePos="0" relativeHeight="251658751" behindDoc="0" locked="0" layoutInCell="1" allowOverlap="1" wp14:anchorId="752A4CD6" wp14:editId="5EDE0E3F">
          <wp:simplePos x="0" y="0"/>
          <wp:positionH relativeFrom="column">
            <wp:posOffset>-539750</wp:posOffset>
          </wp:positionH>
          <wp:positionV relativeFrom="paragraph">
            <wp:posOffset>37465</wp:posOffset>
          </wp:positionV>
          <wp:extent cx="2159000" cy="361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361950"/>
                  </a:xfrm>
                  <a:prstGeom prst="rect">
                    <a:avLst/>
                  </a:prstGeom>
                  <a:noFill/>
                  <a:ln>
                    <a:noFill/>
                  </a:ln>
                </pic:spPr>
              </pic:pic>
            </a:graphicData>
          </a:graphic>
        </wp:anchor>
      </w:drawing>
    </w:r>
    <w:r w:rsidR="00E47CCE">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23ACA60D">
          <wp:simplePos x="0" y="0"/>
          <wp:positionH relativeFrom="column">
            <wp:posOffset>-933450</wp:posOffset>
          </wp:positionH>
          <wp:positionV relativeFrom="paragraph">
            <wp:posOffset>-267335</wp:posOffset>
          </wp:positionV>
          <wp:extent cx="7575550" cy="1072041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flipH="1">
                    <a:off x="0" y="0"/>
                    <a:ext cx="7583948" cy="10732303"/>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EA6CA4">
      <w:rPr>
        <w:rFonts w:ascii="Century Gothic" w:hAnsi="Century Gothic"/>
        <w:b/>
        <w:bCs/>
        <w:color w:val="000000" w:themeColor="text1"/>
        <w:sz w:val="24"/>
        <w:szCs w:val="24"/>
      </w:rPr>
      <w:t>8</w:t>
    </w:r>
    <w:r w:rsidR="00A55D0E">
      <w:rPr>
        <w:rFonts w:ascii="Century Gothic" w:hAnsi="Century Gothic"/>
        <w:b/>
        <w:bCs/>
        <w:color w:val="000000" w:themeColor="text1"/>
        <w:sz w:val="24"/>
        <w:szCs w:val="24"/>
      </w:rPr>
      <w:t xml:space="preserve"> years</w:t>
    </w:r>
  </w:p>
  <w:p w14:paraId="0053964E" w14:textId="4737523E" w:rsidR="00EF3FDA" w:rsidRPr="005F0459" w:rsidRDefault="00EF3FDA" w:rsidP="00E47CCE">
    <w:pPr>
      <w:spacing w:after="86"/>
      <w:ind w:right="-850"/>
      <w:jc w:val="right"/>
      <w:rPr>
        <w:rFonts w:ascii="Century Gothic" w:hAnsi="Century Gothic"/>
        <w:b/>
        <w:bCs/>
        <w:color w:val="C8102E"/>
        <w:sz w:val="18"/>
        <w:szCs w:val="18"/>
      </w:rPr>
    </w:pPr>
    <w:r w:rsidRPr="005F0459">
      <w:rPr>
        <w:rFonts w:ascii="Century Gothic" w:hAnsi="Century Gothic"/>
        <w:b/>
        <w:bCs/>
        <w:color w:val="000000" w:themeColor="text1"/>
        <w:sz w:val="18"/>
        <w:szCs w:val="18"/>
      </w:rPr>
      <w:t xml:space="preserve">This resource </w:t>
    </w:r>
    <w:r w:rsidR="003F2EF3">
      <w:rPr>
        <w:rFonts w:ascii="Century Gothic" w:hAnsi="Century Gothic"/>
        <w:b/>
        <w:bCs/>
        <w:color w:val="000000" w:themeColor="text1"/>
        <w:sz w:val="18"/>
        <w:szCs w:val="18"/>
      </w:rPr>
      <w:t>can be downloaded from</w:t>
    </w:r>
    <w:r w:rsidR="0036415C" w:rsidRPr="0036415C">
      <w:t xml:space="preserve"> </w:t>
    </w:r>
    <w:hyperlink r:id="rId3" w:history="1">
      <w:r w:rsidR="00B24B3D" w:rsidRPr="00B24B3D">
        <w:rPr>
          <w:rStyle w:val="Hyperlink"/>
          <w:rFonts w:ascii="Century Gothic" w:hAnsi="Century Gothic"/>
          <w:b/>
          <w:bCs/>
          <w:sz w:val="18"/>
          <w:szCs w:val="18"/>
        </w:rPr>
        <w:t>rsc.li/3LEalhl</w:t>
      </w:r>
    </w:hyperlink>
    <w:r w:rsidRPr="00EA6CA4">
      <w:rPr>
        <w:rFonts w:ascii="Century Gothic" w:hAnsi="Century Gothic"/>
        <w:b/>
        <w:bCs/>
        <w:color w:val="FF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43F3945"/>
    <w:multiLevelType w:val="multilevel"/>
    <w:tmpl w:val="99BC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244292E"/>
    <w:multiLevelType w:val="multilevel"/>
    <w:tmpl w:val="FF96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7"/>
  </w:num>
  <w:num w:numId="3">
    <w:abstractNumId w:val="4"/>
  </w:num>
  <w:num w:numId="4">
    <w:abstractNumId w:val="5"/>
  </w:num>
  <w:num w:numId="5">
    <w:abstractNumId w:val="13"/>
  </w:num>
  <w:num w:numId="6">
    <w:abstractNumId w:val="14"/>
  </w:num>
  <w:num w:numId="7">
    <w:abstractNumId w:val="0"/>
  </w:num>
  <w:num w:numId="8">
    <w:abstractNumId w:val="3"/>
  </w:num>
  <w:num w:numId="9">
    <w:abstractNumId w:val="2"/>
  </w:num>
  <w:num w:numId="10">
    <w:abstractNumId w:val="1"/>
  </w:num>
  <w:num w:numId="11">
    <w:abstractNumId w:val="8"/>
  </w:num>
  <w:num w:numId="12">
    <w:abstractNumId w:val="1"/>
    <w:lvlOverride w:ilvl="0">
      <w:startOverride w:val="1"/>
    </w:lvlOverride>
  </w:num>
  <w:num w:numId="13">
    <w:abstractNumId w:val="11"/>
  </w:num>
  <w:num w:numId="14">
    <w:abstractNumId w:val="9"/>
  </w:num>
  <w:num w:numId="15">
    <w:abstractNumId w:val="6"/>
  </w:num>
  <w:num w:numId="16">
    <w:abstractNumId w:val="2"/>
    <w:lvlOverride w:ilvl="0">
      <w:startOverride w:val="1"/>
    </w:lvlOverride>
  </w:num>
  <w:num w:numId="17">
    <w:abstractNumId w:val="16"/>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866AC"/>
    <w:rsid w:val="00092315"/>
    <w:rsid w:val="00092796"/>
    <w:rsid w:val="000A31FD"/>
    <w:rsid w:val="000A768F"/>
    <w:rsid w:val="000B0FE6"/>
    <w:rsid w:val="000E5F58"/>
    <w:rsid w:val="00231C1C"/>
    <w:rsid w:val="0023536A"/>
    <w:rsid w:val="002C2223"/>
    <w:rsid w:val="002D34BA"/>
    <w:rsid w:val="002E47CA"/>
    <w:rsid w:val="003059AB"/>
    <w:rsid w:val="003514CF"/>
    <w:rsid w:val="0036415C"/>
    <w:rsid w:val="003716B9"/>
    <w:rsid w:val="003A6537"/>
    <w:rsid w:val="003F2EF3"/>
    <w:rsid w:val="0046389A"/>
    <w:rsid w:val="004A6C93"/>
    <w:rsid w:val="00516F80"/>
    <w:rsid w:val="00525B8C"/>
    <w:rsid w:val="00560449"/>
    <w:rsid w:val="005820B0"/>
    <w:rsid w:val="005F0459"/>
    <w:rsid w:val="006820BE"/>
    <w:rsid w:val="00693912"/>
    <w:rsid w:val="006C7B0F"/>
    <w:rsid w:val="006D790E"/>
    <w:rsid w:val="007042E5"/>
    <w:rsid w:val="00706B4A"/>
    <w:rsid w:val="00741ECD"/>
    <w:rsid w:val="007424D7"/>
    <w:rsid w:val="00764810"/>
    <w:rsid w:val="007859BF"/>
    <w:rsid w:val="00793A37"/>
    <w:rsid w:val="0080546C"/>
    <w:rsid w:val="00835B9C"/>
    <w:rsid w:val="00841A83"/>
    <w:rsid w:val="0089187A"/>
    <w:rsid w:val="008A1B0B"/>
    <w:rsid w:val="008C0669"/>
    <w:rsid w:val="00973447"/>
    <w:rsid w:val="009A3093"/>
    <w:rsid w:val="009F5A27"/>
    <w:rsid w:val="00A177A3"/>
    <w:rsid w:val="00A5348B"/>
    <w:rsid w:val="00A55D0E"/>
    <w:rsid w:val="00A571EB"/>
    <w:rsid w:val="00A5740C"/>
    <w:rsid w:val="00A66348"/>
    <w:rsid w:val="00A725C3"/>
    <w:rsid w:val="00B07819"/>
    <w:rsid w:val="00B226A7"/>
    <w:rsid w:val="00B24B3D"/>
    <w:rsid w:val="00B32608"/>
    <w:rsid w:val="00B67A03"/>
    <w:rsid w:val="00B713BC"/>
    <w:rsid w:val="00B71E66"/>
    <w:rsid w:val="00B721F1"/>
    <w:rsid w:val="00BA1F65"/>
    <w:rsid w:val="00BC5741"/>
    <w:rsid w:val="00BD1443"/>
    <w:rsid w:val="00C1703F"/>
    <w:rsid w:val="00C331BD"/>
    <w:rsid w:val="00C34AB1"/>
    <w:rsid w:val="00C6122F"/>
    <w:rsid w:val="00C644EC"/>
    <w:rsid w:val="00CD5E3C"/>
    <w:rsid w:val="00D56C1B"/>
    <w:rsid w:val="00D62A21"/>
    <w:rsid w:val="00D732BB"/>
    <w:rsid w:val="00D92EA9"/>
    <w:rsid w:val="00DB2F16"/>
    <w:rsid w:val="00DE4519"/>
    <w:rsid w:val="00DF1C5C"/>
    <w:rsid w:val="00E174ED"/>
    <w:rsid w:val="00E23EAC"/>
    <w:rsid w:val="00E408AC"/>
    <w:rsid w:val="00E436AA"/>
    <w:rsid w:val="00E47CCE"/>
    <w:rsid w:val="00EA6CA4"/>
    <w:rsid w:val="00EF3FDA"/>
    <w:rsid w:val="00F55FE1"/>
    <w:rsid w:val="00F709FB"/>
    <w:rsid w:val="00F71CF7"/>
    <w:rsid w:val="00F94905"/>
    <w:rsid w:val="00FC54F8"/>
    <w:rsid w:val="00FD124C"/>
    <w:rsid w:val="00FD6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C33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rsc.org/exhibition-chemistry/shocking-revelations-a-conductometric-titration-of-barium-hydroxide-with-sulfuricvi-acid/4014797.article" TargetMode="External"/><Relationship Id="rId3" Type="http://schemas.openxmlformats.org/officeDocument/2006/relationships/settings" Target="settings.xml"/><Relationship Id="rId7" Type="http://schemas.openxmlformats.org/officeDocument/2006/relationships/hyperlink" Target="http://science.cleapss.org.uk/Resource-Info/GL166-Make-it-guide-a-conductivity-indicator.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rsc.li/3LEalhl"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889</Words>
  <Characters>4574</Characters>
  <Application>Microsoft Office Word</Application>
  <DocSecurity>0</DocSecurity>
  <Lines>86</Lines>
  <Paragraphs>32</Paragraphs>
  <ScaleCrop>false</ScaleCrop>
  <HeadingPairs>
    <vt:vector size="2" baseType="variant">
      <vt:variant>
        <vt:lpstr>Title</vt:lpstr>
      </vt:variant>
      <vt:variant>
        <vt:i4>1</vt:i4>
      </vt:variant>
    </vt:vector>
  </HeadingPairs>
  <TitlesOfParts>
    <vt:vector size="1" baseType="lpstr">
      <vt:lpstr>Shocking revelations - technician notes</vt:lpstr>
    </vt:vector>
  </TitlesOfParts>
  <Manager/>
  <Company>Royal Society Of Chemistry</Company>
  <LinksUpToDate>false</LinksUpToDate>
  <CharactersWithSpaces>5431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Shocking revelations 2 - technician notes</dc:title>
  <dc:subject>neutralisation reactions</dc:subject>
  <dc:creator>Royal Society Of Chemistry</dc:creator>
  <cp:keywords>acid-alkali neutralisation, ions, ionic concentration, conductometric titration, neutralisation</cp:keywords>
  <dc:description>From Shocking revelations 2, Education in Chemistry, rsc.li/3LEalhl</dc:description>
  <cp:lastModifiedBy>Lisa</cp:lastModifiedBy>
  <cp:revision>4</cp:revision>
  <dcterms:created xsi:type="dcterms:W3CDTF">2022-02-11T15:22:00Z</dcterms:created>
  <dcterms:modified xsi:type="dcterms:W3CDTF">2022-02-11T15:52:00Z</dcterms:modified>
  <cp:category/>
</cp:coreProperties>
</file>